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95" w:rsidRDefault="006C27A8" w:rsidP="00F0747C">
      <w:pPr>
        <w:rPr>
          <w:rFonts w:ascii="Verdana" w:hAnsi="Verdana"/>
          <w:b/>
          <w:bCs/>
          <w:sz w:val="20"/>
          <w:szCs w:val="20"/>
        </w:rPr>
      </w:pPr>
      <w:r>
        <w:rPr>
          <w:rFonts w:ascii="Verdana" w:hAnsi="Verdana"/>
          <w:b/>
          <w:bCs/>
          <w:sz w:val="20"/>
          <w:szCs w:val="20"/>
        </w:rPr>
        <w:t xml:space="preserve">ALGUNOS </w:t>
      </w:r>
      <w:r w:rsidR="00F02CA5" w:rsidRPr="003E414B">
        <w:rPr>
          <w:rFonts w:ascii="Verdana" w:hAnsi="Verdana"/>
          <w:b/>
          <w:bCs/>
          <w:sz w:val="20"/>
          <w:szCs w:val="20"/>
        </w:rPr>
        <w:t xml:space="preserve">DETERMINANTES </w:t>
      </w:r>
      <w:r w:rsidR="006529E2">
        <w:rPr>
          <w:rFonts w:ascii="Verdana" w:hAnsi="Verdana"/>
          <w:b/>
          <w:bCs/>
          <w:sz w:val="20"/>
          <w:szCs w:val="20"/>
        </w:rPr>
        <w:t xml:space="preserve">MACRO-SOCIALES </w:t>
      </w:r>
      <w:r w:rsidR="00F02CA5" w:rsidRPr="003E414B">
        <w:rPr>
          <w:rFonts w:ascii="Verdana" w:hAnsi="Verdana"/>
          <w:b/>
          <w:bCs/>
          <w:sz w:val="20"/>
          <w:szCs w:val="20"/>
        </w:rPr>
        <w:t>DEL</w:t>
      </w:r>
      <w:r w:rsidR="00776AF9">
        <w:rPr>
          <w:rFonts w:ascii="Verdana" w:hAnsi="Verdana"/>
          <w:b/>
          <w:bCs/>
          <w:sz w:val="20"/>
          <w:szCs w:val="20"/>
        </w:rPr>
        <w:t xml:space="preserve"> MANTENIMIENTO EN LA AC</w:t>
      </w:r>
      <w:r w:rsidR="00776AF9" w:rsidRPr="003E414B">
        <w:rPr>
          <w:rFonts w:ascii="Verdana" w:hAnsi="Verdana"/>
          <w:b/>
          <w:bCs/>
          <w:sz w:val="20"/>
          <w:szCs w:val="20"/>
        </w:rPr>
        <w:t xml:space="preserve">TIVIDAD </w:t>
      </w:r>
      <w:r w:rsidR="00F02CA5" w:rsidRPr="003E414B">
        <w:rPr>
          <w:rFonts w:ascii="Verdana" w:hAnsi="Verdana"/>
          <w:b/>
          <w:bCs/>
          <w:sz w:val="20"/>
          <w:szCs w:val="20"/>
        </w:rPr>
        <w:t xml:space="preserve">DE LOS TRABAJADORES </w:t>
      </w:r>
      <w:r w:rsidR="00FE3663">
        <w:rPr>
          <w:rFonts w:ascii="Verdana" w:hAnsi="Verdana"/>
          <w:b/>
          <w:bCs/>
          <w:sz w:val="20"/>
          <w:szCs w:val="20"/>
        </w:rPr>
        <w:t>MAYORES</w:t>
      </w:r>
      <w:bookmarkStart w:id="0" w:name="_GoBack"/>
      <w:bookmarkEnd w:id="0"/>
    </w:p>
    <w:p w:rsidR="00F0747C" w:rsidRPr="003E414B" w:rsidRDefault="00F0747C" w:rsidP="00F0747C">
      <w:pPr>
        <w:rPr>
          <w:rFonts w:ascii="Verdana" w:hAnsi="Verdana"/>
          <w:i/>
          <w:sz w:val="20"/>
          <w:szCs w:val="20"/>
        </w:rPr>
      </w:pPr>
      <w:r w:rsidRPr="003E414B">
        <w:rPr>
          <w:rFonts w:ascii="Verdana" w:hAnsi="Verdana"/>
          <w:i/>
          <w:sz w:val="20"/>
          <w:szCs w:val="20"/>
        </w:rPr>
        <w:t>Por David Luque Balbona</w:t>
      </w:r>
      <w:r w:rsidRPr="003E414B">
        <w:rPr>
          <w:rStyle w:val="Refdenotaalpie"/>
          <w:rFonts w:ascii="Verdana" w:hAnsi="Verdana"/>
          <w:i/>
          <w:sz w:val="20"/>
          <w:szCs w:val="20"/>
        </w:rPr>
        <w:footnoteReference w:id="1"/>
      </w:r>
      <w:r w:rsidR="006529E2">
        <w:rPr>
          <w:rFonts w:ascii="Verdana" w:hAnsi="Verdana"/>
          <w:i/>
          <w:sz w:val="20"/>
          <w:szCs w:val="20"/>
        </w:rPr>
        <w:t xml:space="preserve"> y</w:t>
      </w:r>
      <w:r w:rsidR="006529E2" w:rsidRPr="006529E2">
        <w:rPr>
          <w:rFonts w:ascii="Verdana" w:hAnsi="Verdana"/>
          <w:i/>
          <w:sz w:val="20"/>
          <w:szCs w:val="20"/>
        </w:rPr>
        <w:t xml:space="preserve"> </w:t>
      </w:r>
      <w:r w:rsidR="006529E2" w:rsidRPr="003E414B">
        <w:rPr>
          <w:rFonts w:ascii="Verdana" w:hAnsi="Verdana"/>
          <w:i/>
          <w:sz w:val="20"/>
          <w:szCs w:val="20"/>
        </w:rPr>
        <w:t>Ana M. Guillén</w:t>
      </w:r>
      <w:r w:rsidR="006529E2" w:rsidRPr="003E414B">
        <w:rPr>
          <w:rStyle w:val="Refdenotaalpie"/>
          <w:rFonts w:ascii="Verdana" w:hAnsi="Verdana"/>
          <w:i/>
          <w:sz w:val="20"/>
          <w:szCs w:val="20"/>
        </w:rPr>
        <w:footnoteReference w:id="2"/>
      </w:r>
    </w:p>
    <w:p w:rsidR="00F0747C" w:rsidRPr="003E414B" w:rsidRDefault="00F0747C" w:rsidP="00A77148">
      <w:pPr>
        <w:rPr>
          <w:rFonts w:ascii="Verdana" w:hAnsi="Verdana"/>
          <w:bCs/>
          <w:sz w:val="20"/>
          <w:szCs w:val="20"/>
        </w:rPr>
      </w:pPr>
    </w:p>
    <w:p w:rsidR="003E414B" w:rsidRDefault="00DF4740" w:rsidP="00A77148">
      <w:pPr>
        <w:rPr>
          <w:rFonts w:ascii="Verdana" w:hAnsi="Verdana"/>
          <w:b/>
          <w:bCs/>
          <w:sz w:val="20"/>
          <w:szCs w:val="20"/>
        </w:rPr>
      </w:pPr>
      <w:proofErr w:type="spellStart"/>
      <w:r>
        <w:rPr>
          <w:rFonts w:ascii="Verdana" w:hAnsi="Verdana"/>
          <w:b/>
          <w:bCs/>
          <w:sz w:val="20"/>
          <w:szCs w:val="20"/>
        </w:rPr>
        <w:t>Abstract</w:t>
      </w:r>
      <w:proofErr w:type="spellEnd"/>
    </w:p>
    <w:p w:rsidR="00DF4740" w:rsidRPr="003E414B" w:rsidRDefault="00DF4740" w:rsidP="00DF4740">
      <w:pPr>
        <w:rPr>
          <w:rFonts w:ascii="Verdana" w:hAnsi="Verdana"/>
          <w:bCs/>
          <w:sz w:val="20"/>
          <w:szCs w:val="20"/>
        </w:rPr>
      </w:pPr>
      <w:r>
        <w:rPr>
          <w:rFonts w:ascii="Verdana" w:hAnsi="Verdana"/>
          <w:bCs/>
          <w:sz w:val="20"/>
          <w:szCs w:val="20"/>
        </w:rPr>
        <w:t>E</w:t>
      </w:r>
      <w:r w:rsidRPr="003E414B">
        <w:rPr>
          <w:rFonts w:ascii="Verdana" w:hAnsi="Verdana"/>
          <w:bCs/>
          <w:sz w:val="20"/>
          <w:szCs w:val="20"/>
        </w:rPr>
        <w:t>l mantenimiento de los trabajadores de mayor edad (55 y más años) en el mercado de trabajo y el alargamiento de la vida laboral van a ser dos de los mayores retos que deberán afrontar, conjuntamente, los mercados de trabajo y los sistemas protección social en el medio y largo plazo en el viejo continente.</w:t>
      </w:r>
      <w:r>
        <w:rPr>
          <w:rFonts w:ascii="Verdana" w:hAnsi="Verdana"/>
          <w:bCs/>
          <w:sz w:val="20"/>
          <w:szCs w:val="20"/>
        </w:rPr>
        <w:t xml:space="preserve"> En este texto se repasan algunos de los factores a nivel macro-social que influyen en la prolongación de la vida laboral más allá de la edad ordinaria de jubilación.</w:t>
      </w:r>
    </w:p>
    <w:p w:rsidR="00DF4740" w:rsidRPr="00E92628" w:rsidRDefault="00DF4740" w:rsidP="00A77148">
      <w:pPr>
        <w:rPr>
          <w:rFonts w:ascii="Verdana" w:hAnsi="Verdana"/>
          <w:b/>
          <w:bCs/>
          <w:sz w:val="18"/>
          <w:szCs w:val="20"/>
        </w:rPr>
      </w:pPr>
    </w:p>
    <w:p w:rsidR="003E414B" w:rsidRPr="00E92628" w:rsidRDefault="00E92628" w:rsidP="00A77148">
      <w:pPr>
        <w:rPr>
          <w:rFonts w:ascii="Verdana" w:hAnsi="Verdana"/>
          <w:b/>
          <w:sz w:val="20"/>
        </w:rPr>
      </w:pPr>
      <w:r w:rsidRPr="00E92628">
        <w:rPr>
          <w:rFonts w:ascii="Verdana" w:hAnsi="Verdana"/>
          <w:b/>
          <w:sz w:val="20"/>
        </w:rPr>
        <w:t>Frases a destacar</w:t>
      </w:r>
    </w:p>
    <w:p w:rsidR="00E92628" w:rsidRDefault="00E92628" w:rsidP="00E92628">
      <w:pPr>
        <w:rPr>
          <w:rFonts w:ascii="Verdana" w:hAnsi="Verdana"/>
          <w:bCs/>
          <w:sz w:val="20"/>
          <w:szCs w:val="20"/>
        </w:rPr>
      </w:pPr>
      <w:r w:rsidRPr="00E92628">
        <w:rPr>
          <w:rFonts w:ascii="Verdana" w:hAnsi="Verdana"/>
          <w:bCs/>
          <w:sz w:val="20"/>
          <w:szCs w:val="20"/>
        </w:rPr>
        <w:t>En un repaso a la literatura académica, se pueden encontrar de forma recurrente una serie de factores que influyen especialmente en el mantenimiento en la actividad del colectivo de trabajadores mayores</w:t>
      </w:r>
      <w:r>
        <w:rPr>
          <w:rFonts w:ascii="Verdana" w:hAnsi="Verdana"/>
          <w:bCs/>
          <w:sz w:val="20"/>
          <w:szCs w:val="20"/>
        </w:rPr>
        <w:t>.</w:t>
      </w:r>
    </w:p>
    <w:p w:rsidR="00E92628" w:rsidRDefault="00E92628" w:rsidP="00E92628">
      <w:pPr>
        <w:rPr>
          <w:rFonts w:ascii="Verdana" w:hAnsi="Verdana"/>
          <w:bCs/>
          <w:sz w:val="20"/>
          <w:szCs w:val="20"/>
        </w:rPr>
      </w:pPr>
    </w:p>
    <w:p w:rsidR="00E92628" w:rsidRDefault="00E92628" w:rsidP="00E92628">
      <w:pPr>
        <w:rPr>
          <w:rFonts w:ascii="Verdana" w:hAnsi="Verdana"/>
          <w:bCs/>
          <w:sz w:val="20"/>
          <w:szCs w:val="20"/>
        </w:rPr>
      </w:pPr>
      <w:r w:rsidRPr="003E414B">
        <w:rPr>
          <w:rFonts w:ascii="Verdana" w:hAnsi="Verdana"/>
          <w:bCs/>
          <w:sz w:val="20"/>
          <w:szCs w:val="20"/>
        </w:rPr>
        <w:t>Las principales intervenciones a nivel institucional durante los últimos 20 años han estado centradas, casi en exclusiva, en el lado de la oferta</w:t>
      </w:r>
      <w:r>
        <w:rPr>
          <w:rFonts w:ascii="Verdana" w:hAnsi="Verdana"/>
          <w:bCs/>
          <w:sz w:val="20"/>
          <w:szCs w:val="20"/>
        </w:rPr>
        <w:t>.</w:t>
      </w:r>
    </w:p>
    <w:p w:rsidR="00E92628" w:rsidRDefault="00E92628" w:rsidP="00E92628">
      <w:pPr>
        <w:rPr>
          <w:rFonts w:ascii="Verdana" w:hAnsi="Verdana"/>
          <w:bCs/>
          <w:sz w:val="20"/>
          <w:szCs w:val="20"/>
        </w:rPr>
      </w:pPr>
    </w:p>
    <w:p w:rsidR="00E92628" w:rsidRPr="00E92628" w:rsidRDefault="00E92628" w:rsidP="00E92628">
      <w:pPr>
        <w:rPr>
          <w:rFonts w:ascii="Verdana" w:hAnsi="Verdana"/>
          <w:bCs/>
          <w:sz w:val="20"/>
          <w:szCs w:val="20"/>
        </w:rPr>
      </w:pPr>
      <w:r w:rsidRPr="00E92628">
        <w:rPr>
          <w:rFonts w:ascii="Verdana" w:hAnsi="Verdana"/>
          <w:bCs/>
          <w:sz w:val="20"/>
          <w:szCs w:val="20"/>
        </w:rPr>
        <w:t>La respuesta al empleo fue mayor entre los trabajadores sanos y con salarios altos; mientras que los trabajadores con salarios bajos y con peor salud continuaron jubilándose anticipadamente</w:t>
      </w:r>
      <w:r>
        <w:rPr>
          <w:rFonts w:ascii="Verdana" w:hAnsi="Verdana"/>
          <w:bCs/>
          <w:sz w:val="20"/>
          <w:szCs w:val="20"/>
        </w:rPr>
        <w:t>….</w:t>
      </w:r>
    </w:p>
    <w:p w:rsidR="003E414B" w:rsidRDefault="003E414B" w:rsidP="00A77148">
      <w:pPr>
        <w:rPr>
          <w:rFonts w:ascii="Verdana" w:hAnsi="Verdana"/>
          <w:b/>
          <w:bCs/>
          <w:sz w:val="20"/>
          <w:szCs w:val="20"/>
        </w:rPr>
      </w:pPr>
    </w:p>
    <w:p w:rsidR="003E414B" w:rsidRPr="003E414B" w:rsidRDefault="003E414B" w:rsidP="00A77148">
      <w:pPr>
        <w:rPr>
          <w:rFonts w:ascii="Verdana" w:hAnsi="Verdana"/>
          <w:b/>
          <w:bCs/>
          <w:sz w:val="20"/>
          <w:szCs w:val="20"/>
        </w:rPr>
      </w:pPr>
      <w:r w:rsidRPr="003E414B">
        <w:rPr>
          <w:rFonts w:ascii="Verdana" w:hAnsi="Verdana"/>
          <w:b/>
          <w:bCs/>
          <w:sz w:val="20"/>
          <w:szCs w:val="20"/>
        </w:rPr>
        <w:t>Texto</w:t>
      </w:r>
    </w:p>
    <w:p w:rsidR="008F61F8" w:rsidRPr="003E414B" w:rsidRDefault="008F61F8" w:rsidP="00A77148">
      <w:pPr>
        <w:rPr>
          <w:rFonts w:ascii="Verdana" w:hAnsi="Verdana"/>
          <w:bCs/>
          <w:sz w:val="20"/>
          <w:szCs w:val="20"/>
        </w:rPr>
      </w:pPr>
      <w:r w:rsidRPr="003E414B">
        <w:rPr>
          <w:rFonts w:ascii="Verdana" w:hAnsi="Verdana"/>
          <w:bCs/>
          <w:sz w:val="20"/>
          <w:szCs w:val="20"/>
        </w:rPr>
        <w:t>Dado el drástico cambio en la estructura demográfica de la población que están experimentando las sociedades europeas, el mantenimiento de los trabajadores de mayor edad (55 y más años) en el mercado de trabajo y el alargamiento de la vida laboral van a ser dos de los mayores retos que deberán afrontar, conjuntamente, los mercados de trabajo y los sistemas protección social en el medio y largo plazo</w:t>
      </w:r>
      <w:r w:rsidR="00622EE7" w:rsidRPr="003E414B">
        <w:rPr>
          <w:rFonts w:ascii="Verdana" w:hAnsi="Verdana"/>
          <w:bCs/>
          <w:sz w:val="20"/>
          <w:szCs w:val="20"/>
        </w:rPr>
        <w:t xml:space="preserve"> en el viejo continente.</w:t>
      </w:r>
    </w:p>
    <w:p w:rsidR="00A77148" w:rsidRPr="003E414B" w:rsidRDefault="00A77148" w:rsidP="00A77148">
      <w:pPr>
        <w:rPr>
          <w:rFonts w:ascii="Verdana" w:hAnsi="Verdana"/>
          <w:bCs/>
          <w:sz w:val="20"/>
          <w:szCs w:val="20"/>
        </w:rPr>
      </w:pPr>
      <w:r w:rsidRPr="003E414B">
        <w:rPr>
          <w:rFonts w:ascii="Verdana" w:hAnsi="Verdana"/>
          <w:bCs/>
          <w:sz w:val="20"/>
          <w:szCs w:val="20"/>
        </w:rPr>
        <w:t xml:space="preserve">En un repaso a la literatura académica, se pueden encontrar de forma recurrente una serie de factores que influyen especialmente en el mantenimiento en la actividad del colectivo de trabajadores mayores y/o en su reincorporación al mercado de trabajo. </w:t>
      </w:r>
      <w:r w:rsidR="006529E2">
        <w:rPr>
          <w:rFonts w:ascii="Verdana" w:hAnsi="Verdana"/>
          <w:bCs/>
          <w:sz w:val="20"/>
          <w:szCs w:val="20"/>
        </w:rPr>
        <w:t xml:space="preserve">En este texto nos centraremos en el </w:t>
      </w:r>
      <w:r w:rsidRPr="003E414B">
        <w:rPr>
          <w:rFonts w:ascii="Verdana" w:hAnsi="Verdana"/>
          <w:bCs/>
          <w:sz w:val="20"/>
          <w:szCs w:val="20"/>
        </w:rPr>
        <w:t xml:space="preserve">nivel </w:t>
      </w:r>
      <w:r w:rsidR="006529E2">
        <w:rPr>
          <w:rFonts w:ascii="Verdana" w:hAnsi="Verdana"/>
          <w:bCs/>
          <w:sz w:val="20"/>
          <w:szCs w:val="20"/>
        </w:rPr>
        <w:t xml:space="preserve">de análisis </w:t>
      </w:r>
      <w:r w:rsidRPr="003E414B">
        <w:rPr>
          <w:rFonts w:ascii="Verdana" w:hAnsi="Verdana"/>
          <w:bCs/>
          <w:sz w:val="20"/>
          <w:szCs w:val="20"/>
        </w:rPr>
        <w:t>macro</w:t>
      </w:r>
      <w:r w:rsidR="00DF4740">
        <w:rPr>
          <w:rFonts w:ascii="Verdana" w:hAnsi="Verdana"/>
          <w:bCs/>
          <w:sz w:val="20"/>
          <w:szCs w:val="20"/>
        </w:rPr>
        <w:t>-</w:t>
      </w:r>
      <w:r w:rsidR="006529E2">
        <w:rPr>
          <w:rFonts w:ascii="Verdana" w:hAnsi="Verdana"/>
          <w:bCs/>
          <w:sz w:val="20"/>
          <w:szCs w:val="20"/>
        </w:rPr>
        <w:t xml:space="preserve">social. Esto es, en </w:t>
      </w:r>
      <w:r w:rsidRPr="003E414B">
        <w:rPr>
          <w:rFonts w:ascii="Verdana" w:hAnsi="Verdana"/>
          <w:bCs/>
          <w:sz w:val="20"/>
          <w:szCs w:val="20"/>
        </w:rPr>
        <w:t xml:space="preserve">las investigaciones </w:t>
      </w:r>
      <w:r w:rsidR="006529E2">
        <w:rPr>
          <w:rFonts w:ascii="Verdana" w:hAnsi="Verdana"/>
          <w:bCs/>
          <w:sz w:val="20"/>
          <w:szCs w:val="20"/>
        </w:rPr>
        <w:t>que tratan de</w:t>
      </w:r>
      <w:r w:rsidRPr="003E414B">
        <w:rPr>
          <w:rFonts w:ascii="Verdana" w:hAnsi="Verdana"/>
          <w:bCs/>
          <w:sz w:val="20"/>
          <w:szCs w:val="20"/>
        </w:rPr>
        <w:t xml:space="preserve"> conocer cómo las condiciones institucionales y las pautas culturales obstaculizan o promueven la </w:t>
      </w:r>
      <w:r w:rsidR="006529E2">
        <w:rPr>
          <w:rFonts w:ascii="Verdana" w:hAnsi="Verdana"/>
          <w:bCs/>
          <w:sz w:val="20"/>
          <w:szCs w:val="20"/>
        </w:rPr>
        <w:t>prolongación de la vida activa en las sociedades envejecidas.</w:t>
      </w:r>
    </w:p>
    <w:p w:rsidR="00A77148" w:rsidRPr="003E414B" w:rsidRDefault="0075678B" w:rsidP="00A77148">
      <w:pPr>
        <w:rPr>
          <w:rFonts w:ascii="Verdana" w:hAnsi="Verdana"/>
          <w:bCs/>
          <w:sz w:val="20"/>
          <w:szCs w:val="20"/>
        </w:rPr>
      </w:pPr>
      <w:r>
        <w:rPr>
          <w:rFonts w:ascii="Verdana" w:hAnsi="Verdana"/>
          <w:bCs/>
          <w:sz w:val="20"/>
          <w:szCs w:val="20"/>
        </w:rPr>
        <w:t>En Europa, l</w:t>
      </w:r>
      <w:r w:rsidR="00A77148" w:rsidRPr="003E414B">
        <w:rPr>
          <w:rFonts w:ascii="Verdana" w:hAnsi="Verdana"/>
          <w:bCs/>
          <w:sz w:val="20"/>
          <w:szCs w:val="20"/>
        </w:rPr>
        <w:t xml:space="preserve">as principales intervenciones a nivel institucional durante los últimos 20 años han estado centradas, casi en exclusiva, en el lado de la oferta. Los gobiernos nacionales </w:t>
      </w:r>
      <w:r w:rsidR="00622EE7" w:rsidRPr="003E414B">
        <w:rPr>
          <w:rFonts w:ascii="Verdana" w:hAnsi="Verdana"/>
          <w:bCs/>
          <w:sz w:val="20"/>
          <w:szCs w:val="20"/>
        </w:rPr>
        <w:t xml:space="preserve">europeos </w:t>
      </w:r>
      <w:r w:rsidR="00A77148" w:rsidRPr="003E414B">
        <w:rPr>
          <w:rFonts w:ascii="Verdana" w:hAnsi="Verdana"/>
          <w:bCs/>
          <w:sz w:val="20"/>
          <w:szCs w:val="20"/>
        </w:rPr>
        <w:t>se han limitado principalmente a eliminar los obstáculos para trabajar más años, cerrando las vías hacia la jubilación anticipada y posponiendo la edad de jubilación ordinaria. No obstante, se han olvidado en gran medida del la</w:t>
      </w:r>
      <w:r w:rsidR="006529E2">
        <w:rPr>
          <w:rFonts w:ascii="Verdana" w:hAnsi="Verdana"/>
          <w:bCs/>
          <w:sz w:val="20"/>
          <w:szCs w:val="20"/>
        </w:rPr>
        <w:t>do de la demanda, prevenir la pé</w:t>
      </w:r>
      <w:r w:rsidR="00A77148" w:rsidRPr="003E414B">
        <w:rPr>
          <w:rFonts w:ascii="Verdana" w:hAnsi="Verdana"/>
          <w:bCs/>
          <w:sz w:val="20"/>
          <w:szCs w:val="20"/>
        </w:rPr>
        <w:t>rdida de empleabilidad de los trabajadores mayores (</w:t>
      </w:r>
      <w:proofErr w:type="spellStart"/>
      <w:r w:rsidR="00A77148" w:rsidRPr="003E414B">
        <w:rPr>
          <w:rFonts w:ascii="Verdana" w:hAnsi="Verdana"/>
          <w:bCs/>
          <w:sz w:val="20"/>
          <w:szCs w:val="20"/>
        </w:rPr>
        <w:t>Guillemard</w:t>
      </w:r>
      <w:proofErr w:type="spellEnd"/>
      <w:r w:rsidR="00A77148" w:rsidRPr="003E414B">
        <w:rPr>
          <w:rFonts w:ascii="Verdana" w:hAnsi="Verdana"/>
          <w:bCs/>
          <w:sz w:val="20"/>
          <w:szCs w:val="20"/>
        </w:rPr>
        <w:t>, 2016)</w:t>
      </w:r>
      <w:r w:rsidR="00B7253F" w:rsidRPr="003E414B">
        <w:rPr>
          <w:rStyle w:val="Refdenotaalpie"/>
          <w:rFonts w:ascii="Verdana" w:hAnsi="Verdana"/>
          <w:bCs/>
          <w:sz w:val="20"/>
          <w:szCs w:val="20"/>
        </w:rPr>
        <w:footnoteReference w:id="3"/>
      </w:r>
      <w:r w:rsidR="00B7253F" w:rsidRPr="003E414B">
        <w:rPr>
          <w:rFonts w:ascii="Verdana" w:hAnsi="Verdana"/>
          <w:bCs/>
          <w:sz w:val="20"/>
          <w:szCs w:val="20"/>
        </w:rPr>
        <w:t>.</w:t>
      </w:r>
    </w:p>
    <w:p w:rsidR="00A77148" w:rsidRPr="003E414B" w:rsidRDefault="00A77148" w:rsidP="00A77148">
      <w:pPr>
        <w:rPr>
          <w:rFonts w:ascii="Verdana" w:hAnsi="Verdana"/>
          <w:bCs/>
          <w:sz w:val="20"/>
          <w:szCs w:val="20"/>
        </w:rPr>
      </w:pPr>
      <w:r w:rsidRPr="003E414B">
        <w:rPr>
          <w:rFonts w:ascii="Verdana" w:hAnsi="Verdana"/>
          <w:bCs/>
          <w:sz w:val="20"/>
          <w:szCs w:val="20"/>
        </w:rPr>
        <w:lastRenderedPageBreak/>
        <w:t xml:space="preserve">En cuanto a los efectos de las reformas orientadas a aumentar la oferta de trabajadores mayores, para el caso de Austria, </w:t>
      </w:r>
      <w:proofErr w:type="spellStart"/>
      <w:r w:rsidRPr="003E414B">
        <w:rPr>
          <w:rFonts w:ascii="Verdana" w:hAnsi="Verdana"/>
          <w:bCs/>
          <w:sz w:val="20"/>
          <w:szCs w:val="20"/>
        </w:rPr>
        <w:t>Staubli</w:t>
      </w:r>
      <w:proofErr w:type="spellEnd"/>
      <w:r w:rsidRPr="003E414B">
        <w:rPr>
          <w:rFonts w:ascii="Verdana" w:hAnsi="Verdana"/>
          <w:bCs/>
          <w:sz w:val="20"/>
          <w:szCs w:val="20"/>
        </w:rPr>
        <w:t xml:space="preserve"> y </w:t>
      </w:r>
      <w:proofErr w:type="spellStart"/>
      <w:r w:rsidRPr="003E414B">
        <w:rPr>
          <w:rFonts w:ascii="Verdana" w:hAnsi="Verdana"/>
          <w:bCs/>
          <w:sz w:val="20"/>
          <w:szCs w:val="20"/>
        </w:rPr>
        <w:t>Zweimüller</w:t>
      </w:r>
      <w:proofErr w:type="spellEnd"/>
      <w:r w:rsidRPr="003E414B">
        <w:rPr>
          <w:rFonts w:ascii="Verdana" w:hAnsi="Verdana"/>
          <w:bCs/>
          <w:sz w:val="20"/>
          <w:szCs w:val="20"/>
        </w:rPr>
        <w:t xml:space="preserve"> (2013)</w:t>
      </w:r>
      <w:r w:rsidR="00B7253F" w:rsidRPr="003E414B">
        <w:rPr>
          <w:rStyle w:val="Refdenotaalpie"/>
          <w:rFonts w:ascii="Verdana" w:hAnsi="Verdana"/>
          <w:bCs/>
          <w:sz w:val="20"/>
          <w:szCs w:val="20"/>
        </w:rPr>
        <w:footnoteReference w:id="4"/>
      </w:r>
      <w:r w:rsidRPr="003E414B">
        <w:rPr>
          <w:rFonts w:ascii="Verdana" w:hAnsi="Verdana"/>
          <w:bCs/>
          <w:sz w:val="20"/>
          <w:szCs w:val="20"/>
        </w:rPr>
        <w:t xml:space="preserve"> encuentran el retraso de la edad de jubilación anticipada aumentó el empleo en 9,7 puntos porcentuales entre los hombres afectados y 11,0 entre las mujeres. No obstante, este cambio también tuvo efectos indirectos en el gasto por desempleo. En concreto, el desempleo aumentó en 12,5 puntos porcentuales entre los hombres y en 11,8 puntos porcentuales entre las mujeres. La respuesta al empleo fue mayor entre los trabajadores sanos y con salarios altos; mientras que los trabajadores con salarios bajos y con peor salud continuaron jubilándose anticipadamente a través de las prestaciones por discapacidad o a través de las prestaciones y subsidios por desempleo. En el caso de España, Sánchez-Martín et al. (2014)</w:t>
      </w:r>
      <w:r w:rsidR="00B7253F" w:rsidRPr="003E414B">
        <w:rPr>
          <w:rStyle w:val="Refdenotaalpie"/>
          <w:rFonts w:ascii="Verdana" w:hAnsi="Verdana"/>
          <w:bCs/>
          <w:sz w:val="20"/>
          <w:szCs w:val="20"/>
        </w:rPr>
        <w:footnoteReference w:id="5"/>
      </w:r>
      <w:r w:rsidRPr="003E414B">
        <w:rPr>
          <w:rFonts w:ascii="Verdana" w:hAnsi="Verdana"/>
          <w:bCs/>
          <w:sz w:val="20"/>
          <w:szCs w:val="20"/>
        </w:rPr>
        <w:t xml:space="preserve"> analizan los efectos de la reforma de las pensiones de 2011, caracterizada por retrasar dos años tanto en la edad de jubilación anticipada como la ordinaria, encontrando que la reforma genera grandes incrementos en la oferta laboral y recortes considerables en el coste de las pensiones; pero estos se logran a expensas de grandes pérdidas de bienestar, especialmente entre los trabajadores desempleados.</w:t>
      </w:r>
    </w:p>
    <w:p w:rsidR="00A77148" w:rsidRPr="003E414B" w:rsidRDefault="00A77148" w:rsidP="00A77148">
      <w:pPr>
        <w:rPr>
          <w:rFonts w:ascii="Verdana" w:hAnsi="Verdana"/>
          <w:bCs/>
          <w:sz w:val="20"/>
          <w:szCs w:val="20"/>
        </w:rPr>
      </w:pPr>
      <w:r w:rsidRPr="003E414B">
        <w:rPr>
          <w:rFonts w:ascii="Verdana" w:hAnsi="Verdana"/>
          <w:bCs/>
          <w:sz w:val="20"/>
          <w:szCs w:val="20"/>
        </w:rPr>
        <w:t xml:space="preserve">En un contexto institucional diferente, como el de Estados Unidos, </w:t>
      </w:r>
      <w:proofErr w:type="spellStart"/>
      <w:r w:rsidRPr="003E414B">
        <w:rPr>
          <w:rFonts w:ascii="Verdana" w:hAnsi="Verdana"/>
          <w:bCs/>
          <w:sz w:val="20"/>
          <w:szCs w:val="20"/>
        </w:rPr>
        <w:t>Purcell</w:t>
      </w:r>
      <w:proofErr w:type="spellEnd"/>
      <w:r w:rsidRPr="003E414B">
        <w:rPr>
          <w:rFonts w:ascii="Verdana" w:hAnsi="Verdana"/>
          <w:bCs/>
          <w:sz w:val="20"/>
          <w:szCs w:val="20"/>
        </w:rPr>
        <w:t xml:space="preserve"> (2007)</w:t>
      </w:r>
      <w:r w:rsidR="00B7253F" w:rsidRPr="003E414B">
        <w:rPr>
          <w:rStyle w:val="Refdenotaalpie"/>
          <w:rFonts w:ascii="Verdana" w:hAnsi="Verdana"/>
          <w:bCs/>
          <w:sz w:val="20"/>
          <w:szCs w:val="20"/>
        </w:rPr>
        <w:footnoteReference w:id="6"/>
      </w:r>
      <w:r w:rsidRPr="003E414B">
        <w:rPr>
          <w:rFonts w:ascii="Verdana" w:hAnsi="Verdana"/>
          <w:bCs/>
          <w:sz w:val="20"/>
          <w:szCs w:val="20"/>
        </w:rPr>
        <w:t xml:space="preserve"> señala que la tasa de empleo entre las personas de 55 años o más está influenciada por las condiciones económicas generales, la elegibilidad para los beneficios del seguro social, la disponibilidad de seguro médico y la prevalencia y el diseño de las pensiones patrocinadas por el empleador. </w:t>
      </w:r>
      <w:proofErr w:type="spellStart"/>
      <w:r w:rsidRPr="003E414B">
        <w:rPr>
          <w:rFonts w:ascii="Verdana" w:hAnsi="Verdana"/>
          <w:bCs/>
          <w:sz w:val="20"/>
          <w:szCs w:val="20"/>
        </w:rPr>
        <w:t>Phillipson</w:t>
      </w:r>
      <w:proofErr w:type="spellEnd"/>
      <w:r w:rsidRPr="003E414B">
        <w:rPr>
          <w:rFonts w:ascii="Verdana" w:hAnsi="Verdana"/>
          <w:bCs/>
          <w:sz w:val="20"/>
          <w:szCs w:val="20"/>
        </w:rPr>
        <w:t xml:space="preserve"> y Smith (2005)</w:t>
      </w:r>
      <w:r w:rsidR="00B7253F" w:rsidRPr="003E414B">
        <w:rPr>
          <w:rStyle w:val="Refdenotaalpie"/>
          <w:rFonts w:ascii="Verdana" w:hAnsi="Verdana"/>
          <w:bCs/>
          <w:sz w:val="20"/>
          <w:szCs w:val="20"/>
        </w:rPr>
        <w:footnoteReference w:id="7"/>
      </w:r>
      <w:r w:rsidRPr="003E414B">
        <w:rPr>
          <w:rFonts w:ascii="Verdana" w:hAnsi="Verdana"/>
          <w:bCs/>
          <w:sz w:val="20"/>
          <w:szCs w:val="20"/>
        </w:rPr>
        <w:t>, en el caso de Reino Unido, también señalan el acceso a una pensión ocupacional, de empresa, como un factor asociado a la salida temprana de la actividad.</w:t>
      </w:r>
    </w:p>
    <w:p w:rsidR="00A77148" w:rsidRPr="003E414B" w:rsidRDefault="00A77148" w:rsidP="00A77148">
      <w:pPr>
        <w:rPr>
          <w:rFonts w:ascii="Verdana" w:hAnsi="Verdana"/>
          <w:bCs/>
          <w:sz w:val="20"/>
          <w:szCs w:val="20"/>
        </w:rPr>
      </w:pPr>
      <w:r w:rsidRPr="003E414B">
        <w:rPr>
          <w:rFonts w:ascii="Verdana" w:hAnsi="Verdana"/>
          <w:bCs/>
          <w:sz w:val="20"/>
          <w:szCs w:val="20"/>
        </w:rPr>
        <w:t>En cuanto a los (des)incentivos que presenta la regulación española para alargar la vida laboral, García-Pérez et al. (2013, 118)</w:t>
      </w:r>
      <w:r w:rsidR="00B7253F" w:rsidRPr="003E414B">
        <w:rPr>
          <w:rStyle w:val="Refdenotaalpie"/>
          <w:rFonts w:ascii="Verdana" w:hAnsi="Verdana"/>
          <w:bCs/>
          <w:sz w:val="20"/>
          <w:szCs w:val="20"/>
        </w:rPr>
        <w:footnoteReference w:id="8"/>
      </w:r>
      <w:r w:rsidRPr="003E414B">
        <w:rPr>
          <w:rFonts w:ascii="Verdana" w:hAnsi="Verdana"/>
          <w:bCs/>
          <w:sz w:val="20"/>
          <w:szCs w:val="20"/>
        </w:rPr>
        <w:t xml:space="preserve"> destacan la vía del desempleo como la </w:t>
      </w:r>
      <w:r w:rsidR="006C27A8">
        <w:rPr>
          <w:rFonts w:ascii="Verdana" w:hAnsi="Verdana"/>
          <w:bCs/>
          <w:sz w:val="20"/>
          <w:szCs w:val="20"/>
        </w:rPr>
        <w:t>senda</w:t>
      </w:r>
      <w:r w:rsidRPr="003E414B">
        <w:rPr>
          <w:rFonts w:ascii="Verdana" w:hAnsi="Verdana"/>
          <w:bCs/>
          <w:sz w:val="20"/>
          <w:szCs w:val="20"/>
        </w:rPr>
        <w:t xml:space="preserve"> dominante hacia la jubilación: </w:t>
      </w:r>
      <w:r w:rsidRPr="003E414B">
        <w:rPr>
          <w:rFonts w:ascii="Verdana" w:hAnsi="Verdana"/>
          <w:sz w:val="20"/>
          <w:szCs w:val="20"/>
        </w:rPr>
        <w:t>“l</w:t>
      </w:r>
      <w:r w:rsidRPr="003E414B">
        <w:rPr>
          <w:rFonts w:ascii="Verdana" w:hAnsi="Verdana"/>
          <w:bCs/>
          <w:sz w:val="20"/>
          <w:szCs w:val="20"/>
        </w:rPr>
        <w:t xml:space="preserve">as pequeñas tasas de reingreso observadas en España entre los trabajadores de 55 y más años son, al menos en parte, consecuencia de un diseño institucional que subvenciona la no participación frente a la costosa alternativa de búsqueda de empleo. La combinación de generosas prestaciones por desempleo (duraciones de hasta 2 años) y sanciones sustanciales por jubilación anticipada hacen que el desempleo sea una alternativa muy atractiva para un gran número de personas. El mismo efecto se manifiesta en las elevadas tasas de jubilación que se observan entre los trabajadores desempleados una vez que dejan de estar disponibles las prestaciones por desempleo”. De igual forma, </w:t>
      </w:r>
      <w:proofErr w:type="spellStart"/>
      <w:r w:rsidRPr="003E414B">
        <w:rPr>
          <w:rFonts w:ascii="Verdana" w:hAnsi="Verdana"/>
          <w:bCs/>
          <w:sz w:val="20"/>
          <w:szCs w:val="20"/>
        </w:rPr>
        <w:t>Marmora</w:t>
      </w:r>
      <w:proofErr w:type="spellEnd"/>
      <w:r w:rsidRPr="003E414B">
        <w:rPr>
          <w:rFonts w:ascii="Verdana" w:hAnsi="Verdana"/>
          <w:bCs/>
          <w:sz w:val="20"/>
          <w:szCs w:val="20"/>
        </w:rPr>
        <w:t xml:space="preserve"> y </w:t>
      </w:r>
      <w:proofErr w:type="spellStart"/>
      <w:r w:rsidRPr="003E414B">
        <w:rPr>
          <w:rFonts w:ascii="Verdana" w:hAnsi="Verdana"/>
          <w:bCs/>
          <w:sz w:val="20"/>
          <w:szCs w:val="20"/>
        </w:rPr>
        <w:t>Ritter</w:t>
      </w:r>
      <w:proofErr w:type="spellEnd"/>
      <w:r w:rsidRPr="003E414B">
        <w:rPr>
          <w:rFonts w:ascii="Verdana" w:hAnsi="Verdana"/>
          <w:bCs/>
          <w:sz w:val="20"/>
          <w:szCs w:val="20"/>
        </w:rPr>
        <w:t xml:space="preserve"> (2015)</w:t>
      </w:r>
      <w:r w:rsidR="00B7253F" w:rsidRPr="003E414B">
        <w:rPr>
          <w:rStyle w:val="Refdenotaalpie"/>
          <w:rFonts w:ascii="Verdana" w:hAnsi="Verdana"/>
          <w:bCs/>
          <w:sz w:val="20"/>
          <w:szCs w:val="20"/>
        </w:rPr>
        <w:footnoteReference w:id="9"/>
      </w:r>
      <w:r w:rsidRPr="003E414B">
        <w:rPr>
          <w:rFonts w:ascii="Verdana" w:hAnsi="Verdana"/>
          <w:bCs/>
          <w:sz w:val="20"/>
          <w:szCs w:val="20"/>
        </w:rPr>
        <w:t xml:space="preserve"> encuentran que los trabajadores mayores desempleados abandonan permanentemente la fuerza laboral a una tasa significativamente más alta que los trabajadores mayores empleados. En el mismo sentido, en el caso de Francia, </w:t>
      </w:r>
      <w:proofErr w:type="spellStart"/>
      <w:r w:rsidRPr="003E414B">
        <w:rPr>
          <w:rFonts w:ascii="Verdana" w:hAnsi="Verdana"/>
          <w:bCs/>
          <w:sz w:val="20"/>
          <w:szCs w:val="20"/>
        </w:rPr>
        <w:t>Baguelin</w:t>
      </w:r>
      <w:proofErr w:type="spellEnd"/>
      <w:r w:rsidRPr="003E414B">
        <w:rPr>
          <w:rFonts w:ascii="Verdana" w:hAnsi="Verdana"/>
          <w:bCs/>
          <w:sz w:val="20"/>
          <w:szCs w:val="20"/>
        </w:rPr>
        <w:t xml:space="preserve"> y </w:t>
      </w:r>
      <w:proofErr w:type="spellStart"/>
      <w:r w:rsidRPr="003E414B">
        <w:rPr>
          <w:rFonts w:ascii="Verdana" w:hAnsi="Verdana"/>
          <w:bCs/>
          <w:sz w:val="20"/>
          <w:szCs w:val="20"/>
        </w:rPr>
        <w:t>Remillon</w:t>
      </w:r>
      <w:proofErr w:type="spellEnd"/>
      <w:r w:rsidRPr="003E414B">
        <w:rPr>
          <w:rFonts w:ascii="Verdana" w:hAnsi="Verdana"/>
          <w:bCs/>
          <w:sz w:val="20"/>
          <w:szCs w:val="20"/>
        </w:rPr>
        <w:t xml:space="preserve"> (2014)</w:t>
      </w:r>
      <w:r w:rsidR="00B7253F" w:rsidRPr="003E414B">
        <w:rPr>
          <w:rStyle w:val="Refdenotaalpie"/>
          <w:rFonts w:ascii="Verdana" w:hAnsi="Verdana"/>
          <w:bCs/>
          <w:sz w:val="20"/>
          <w:szCs w:val="20"/>
        </w:rPr>
        <w:footnoteReference w:id="10"/>
      </w:r>
      <w:r w:rsidRPr="003E414B">
        <w:rPr>
          <w:rFonts w:ascii="Verdana" w:hAnsi="Verdana"/>
          <w:bCs/>
          <w:sz w:val="20"/>
          <w:szCs w:val="20"/>
        </w:rPr>
        <w:t xml:space="preserve"> apuntan que tanto empleadores como trabajadores consideran el seguro de desempleo como un plan de jubilación anticipada en lugar de un seguro contra el riesgo de pérdida del empleo. Finalmente, en lo que refiere a las reformas más reciente de las pensiones en España, siguiendo </w:t>
      </w:r>
      <w:r w:rsidRPr="003E414B">
        <w:rPr>
          <w:rFonts w:ascii="Verdana" w:hAnsi="Verdana"/>
          <w:bCs/>
          <w:sz w:val="20"/>
          <w:szCs w:val="20"/>
        </w:rPr>
        <w:lastRenderedPageBreak/>
        <w:t>a García-Gómez et al. (2018, 13)</w:t>
      </w:r>
      <w:r w:rsidR="00B7253F" w:rsidRPr="003E414B">
        <w:rPr>
          <w:rStyle w:val="Refdenotaalpie"/>
          <w:rFonts w:ascii="Verdana" w:hAnsi="Verdana"/>
          <w:bCs/>
          <w:sz w:val="20"/>
          <w:szCs w:val="20"/>
        </w:rPr>
        <w:footnoteReference w:id="11"/>
      </w:r>
      <w:r w:rsidRPr="003E414B">
        <w:rPr>
          <w:rFonts w:ascii="Verdana" w:hAnsi="Verdana"/>
          <w:bCs/>
          <w:sz w:val="20"/>
          <w:szCs w:val="20"/>
        </w:rPr>
        <w:t>, “se espera que las reformas de las pensiones de 2011 y 2013, al reducir las expectativas de beneficios y también al incluir algún incentivo para trabajar más tiempo (compatibilidad parcial de la prestación después de la edad normal de jubilación), incentiven la oferta laboral de trabajadores mayores”.</w:t>
      </w:r>
    </w:p>
    <w:p w:rsidR="00A77148" w:rsidRPr="003E414B" w:rsidRDefault="006C27A8" w:rsidP="00A77148">
      <w:pPr>
        <w:rPr>
          <w:rFonts w:ascii="Verdana" w:hAnsi="Verdana"/>
          <w:bCs/>
          <w:sz w:val="20"/>
          <w:szCs w:val="20"/>
        </w:rPr>
      </w:pPr>
      <w:r>
        <w:rPr>
          <w:rFonts w:ascii="Verdana" w:hAnsi="Verdana"/>
          <w:bCs/>
          <w:sz w:val="20"/>
          <w:szCs w:val="20"/>
        </w:rPr>
        <w:t>Finalmente, e</w:t>
      </w:r>
      <w:r w:rsidR="00A77148" w:rsidRPr="003E414B">
        <w:rPr>
          <w:rFonts w:ascii="Verdana" w:hAnsi="Verdana"/>
          <w:bCs/>
          <w:sz w:val="20"/>
          <w:szCs w:val="20"/>
        </w:rPr>
        <w:t>n cuanto a los factores culturales, cabe destacar la distinta val</w:t>
      </w:r>
      <w:r>
        <w:rPr>
          <w:rFonts w:ascii="Verdana" w:hAnsi="Verdana"/>
          <w:bCs/>
          <w:sz w:val="20"/>
          <w:szCs w:val="20"/>
        </w:rPr>
        <w:t xml:space="preserve">oración social que se otorga a la prolongación </w:t>
      </w:r>
      <w:r w:rsidR="00A77148" w:rsidRPr="003E414B">
        <w:rPr>
          <w:rFonts w:ascii="Verdana" w:hAnsi="Verdana"/>
          <w:bCs/>
          <w:sz w:val="20"/>
          <w:szCs w:val="20"/>
        </w:rPr>
        <w:t xml:space="preserve">de la vida laboral más allá de la edad </w:t>
      </w:r>
      <w:r w:rsidRPr="003E414B">
        <w:rPr>
          <w:rFonts w:ascii="Verdana" w:hAnsi="Verdana"/>
          <w:bCs/>
          <w:sz w:val="20"/>
          <w:szCs w:val="20"/>
        </w:rPr>
        <w:t>ordinaria</w:t>
      </w:r>
      <w:r w:rsidRPr="003E414B">
        <w:rPr>
          <w:rFonts w:ascii="Verdana" w:hAnsi="Verdana"/>
          <w:bCs/>
          <w:sz w:val="20"/>
          <w:szCs w:val="20"/>
        </w:rPr>
        <w:t xml:space="preserve"> </w:t>
      </w:r>
      <w:r w:rsidR="00A77148" w:rsidRPr="003E414B">
        <w:rPr>
          <w:rFonts w:ascii="Verdana" w:hAnsi="Verdana"/>
          <w:bCs/>
          <w:sz w:val="20"/>
          <w:szCs w:val="20"/>
        </w:rPr>
        <w:t>de jubilación en distintos contextos culturales. Sirve como ejemplo ilustrativo el acusado contraste que</w:t>
      </w:r>
      <w:r>
        <w:rPr>
          <w:rFonts w:ascii="Verdana" w:hAnsi="Verdana"/>
          <w:bCs/>
          <w:sz w:val="20"/>
          <w:szCs w:val="20"/>
        </w:rPr>
        <w:t xml:space="preserve"> se da entre la sociedad japonesa</w:t>
      </w:r>
      <w:r w:rsidR="00A77148" w:rsidRPr="003E414B">
        <w:rPr>
          <w:rFonts w:ascii="Verdana" w:hAnsi="Verdana"/>
          <w:bCs/>
          <w:sz w:val="20"/>
          <w:szCs w:val="20"/>
        </w:rPr>
        <w:t xml:space="preserve">, que registra la tasa de actividad de los trabajadores mayores más alta de los países industrializados, y la estadounidense, descrito por </w:t>
      </w:r>
      <w:proofErr w:type="spellStart"/>
      <w:r w:rsidR="00A77148" w:rsidRPr="003E414B">
        <w:rPr>
          <w:rFonts w:ascii="Verdana" w:hAnsi="Verdana"/>
          <w:bCs/>
          <w:sz w:val="20"/>
          <w:szCs w:val="20"/>
        </w:rPr>
        <w:t>Williamson</w:t>
      </w:r>
      <w:proofErr w:type="spellEnd"/>
      <w:r w:rsidR="00A77148" w:rsidRPr="003E414B">
        <w:rPr>
          <w:rFonts w:ascii="Verdana" w:hAnsi="Verdana"/>
          <w:bCs/>
          <w:sz w:val="20"/>
          <w:szCs w:val="20"/>
        </w:rPr>
        <w:t xml:space="preserve"> e Higo (2007, 3)</w:t>
      </w:r>
      <w:r w:rsidR="00B7253F" w:rsidRPr="003E414B">
        <w:rPr>
          <w:rStyle w:val="Refdenotaalpie"/>
          <w:rFonts w:ascii="Verdana" w:hAnsi="Verdana"/>
          <w:bCs/>
          <w:sz w:val="20"/>
          <w:szCs w:val="20"/>
        </w:rPr>
        <w:footnoteReference w:id="12"/>
      </w:r>
      <w:r w:rsidR="00A77148" w:rsidRPr="003E414B">
        <w:rPr>
          <w:rFonts w:ascii="Verdana" w:hAnsi="Verdana"/>
          <w:bCs/>
          <w:sz w:val="20"/>
          <w:szCs w:val="20"/>
        </w:rPr>
        <w:t>: “La cultura japonesa otorga un gran valor a permanecer productivo el mayor tiempo posible a lo largo de la vida, especialmente para los hombres. Incluso entre los trabajadores de más edad, el trabajo se valora mucho más que el ocio. En contraste, la sociedad estadounidense acepta mucho más que los trabajadores mayores se retiren de la fuerza laboral remunerada para realizar actividades de ocio a una edad en la que todavía gozan de buena salud y son plenamente capaces de continuar trabajando”.</w:t>
      </w:r>
    </w:p>
    <w:p w:rsidR="006529E2" w:rsidRDefault="006529E2" w:rsidP="00A77148">
      <w:pPr>
        <w:rPr>
          <w:rFonts w:ascii="Verdana" w:hAnsi="Verdana"/>
          <w:bCs/>
          <w:sz w:val="20"/>
          <w:szCs w:val="20"/>
        </w:rPr>
      </w:pPr>
      <w:r>
        <w:rPr>
          <w:rFonts w:ascii="Verdana" w:hAnsi="Verdana"/>
          <w:bCs/>
          <w:sz w:val="20"/>
          <w:szCs w:val="20"/>
        </w:rPr>
        <w:t xml:space="preserve">En resumidas cuentas, </w:t>
      </w:r>
      <w:r w:rsidR="004662FA">
        <w:rPr>
          <w:rFonts w:ascii="Verdana" w:hAnsi="Verdana"/>
          <w:bCs/>
          <w:sz w:val="20"/>
          <w:szCs w:val="20"/>
        </w:rPr>
        <w:t xml:space="preserve">en este breve repaso de </w:t>
      </w:r>
      <w:r>
        <w:rPr>
          <w:rFonts w:ascii="Verdana" w:hAnsi="Verdana"/>
          <w:bCs/>
          <w:sz w:val="20"/>
          <w:szCs w:val="20"/>
        </w:rPr>
        <w:t xml:space="preserve">la evidencia empírica internacional </w:t>
      </w:r>
      <w:r w:rsidR="004662FA">
        <w:rPr>
          <w:rFonts w:ascii="Verdana" w:hAnsi="Verdana"/>
          <w:bCs/>
          <w:sz w:val="20"/>
          <w:szCs w:val="20"/>
        </w:rPr>
        <w:t xml:space="preserve">se </w:t>
      </w:r>
      <w:r w:rsidR="008229CF">
        <w:rPr>
          <w:rFonts w:ascii="Verdana" w:hAnsi="Verdana"/>
          <w:bCs/>
          <w:sz w:val="20"/>
          <w:szCs w:val="20"/>
        </w:rPr>
        <w:t>muestra có</w:t>
      </w:r>
      <w:r>
        <w:rPr>
          <w:rFonts w:ascii="Verdana" w:hAnsi="Verdana"/>
          <w:bCs/>
          <w:sz w:val="20"/>
          <w:szCs w:val="20"/>
        </w:rPr>
        <w:t xml:space="preserve">mo las variables de </w:t>
      </w:r>
      <w:r w:rsidR="004662FA">
        <w:rPr>
          <w:rFonts w:ascii="Verdana" w:hAnsi="Verdana"/>
          <w:bCs/>
          <w:sz w:val="20"/>
          <w:szCs w:val="20"/>
        </w:rPr>
        <w:t>t</w:t>
      </w:r>
      <w:r>
        <w:rPr>
          <w:rFonts w:ascii="Verdana" w:hAnsi="Verdana"/>
          <w:bCs/>
          <w:sz w:val="20"/>
          <w:szCs w:val="20"/>
        </w:rPr>
        <w:t>ipo institucional y cultural influyen de forma significativa en el comportamiento de</w:t>
      </w:r>
      <w:r w:rsidR="004662FA">
        <w:rPr>
          <w:rFonts w:ascii="Verdana" w:hAnsi="Verdana"/>
          <w:bCs/>
          <w:sz w:val="20"/>
          <w:szCs w:val="20"/>
        </w:rPr>
        <w:t xml:space="preserve"> </w:t>
      </w:r>
      <w:r>
        <w:rPr>
          <w:rFonts w:ascii="Verdana" w:hAnsi="Verdana"/>
          <w:bCs/>
          <w:sz w:val="20"/>
          <w:szCs w:val="20"/>
        </w:rPr>
        <w:t>lo</w:t>
      </w:r>
      <w:r w:rsidR="004662FA">
        <w:rPr>
          <w:rFonts w:ascii="Verdana" w:hAnsi="Verdana"/>
          <w:bCs/>
          <w:sz w:val="20"/>
          <w:szCs w:val="20"/>
        </w:rPr>
        <w:t xml:space="preserve">s trabajadores mayores a </w:t>
      </w:r>
      <w:r>
        <w:rPr>
          <w:rFonts w:ascii="Verdana" w:hAnsi="Verdana"/>
          <w:bCs/>
          <w:sz w:val="20"/>
          <w:szCs w:val="20"/>
        </w:rPr>
        <w:t>l</w:t>
      </w:r>
      <w:r w:rsidR="004662FA">
        <w:rPr>
          <w:rFonts w:ascii="Verdana" w:hAnsi="Verdana"/>
          <w:bCs/>
          <w:sz w:val="20"/>
          <w:szCs w:val="20"/>
        </w:rPr>
        <w:t>a</w:t>
      </w:r>
      <w:r>
        <w:rPr>
          <w:rFonts w:ascii="Verdana" w:hAnsi="Verdana"/>
          <w:bCs/>
          <w:sz w:val="20"/>
          <w:szCs w:val="20"/>
        </w:rPr>
        <w:t xml:space="preserve"> hora de </w:t>
      </w:r>
      <w:r w:rsidR="004662FA">
        <w:rPr>
          <w:rFonts w:ascii="Verdana" w:hAnsi="Verdana"/>
          <w:bCs/>
          <w:sz w:val="20"/>
          <w:szCs w:val="20"/>
        </w:rPr>
        <w:t xml:space="preserve">tomar la decisión de </w:t>
      </w:r>
      <w:r>
        <w:rPr>
          <w:rFonts w:ascii="Verdana" w:hAnsi="Verdana"/>
          <w:bCs/>
          <w:sz w:val="20"/>
          <w:szCs w:val="20"/>
        </w:rPr>
        <w:t xml:space="preserve">seguir trabajando más allá de la edad ordinaria de jubilación o </w:t>
      </w:r>
      <w:r w:rsidR="00D07C0A">
        <w:rPr>
          <w:rFonts w:ascii="Verdana" w:hAnsi="Verdana"/>
          <w:bCs/>
          <w:sz w:val="20"/>
          <w:szCs w:val="20"/>
        </w:rPr>
        <w:t xml:space="preserve">de </w:t>
      </w:r>
      <w:r>
        <w:rPr>
          <w:rFonts w:ascii="Verdana" w:hAnsi="Verdana"/>
          <w:bCs/>
          <w:sz w:val="20"/>
          <w:szCs w:val="20"/>
        </w:rPr>
        <w:t>jubilarse de forma anticipada.</w:t>
      </w:r>
      <w:r w:rsidR="006C27A8">
        <w:rPr>
          <w:rFonts w:ascii="Verdana" w:hAnsi="Verdana"/>
          <w:bCs/>
          <w:sz w:val="20"/>
          <w:szCs w:val="20"/>
        </w:rPr>
        <w:t xml:space="preserve"> </w:t>
      </w:r>
      <w:r w:rsidR="006C27A8">
        <w:rPr>
          <w:rFonts w:ascii="Verdana" w:hAnsi="Verdana"/>
          <w:bCs/>
          <w:sz w:val="20"/>
          <w:szCs w:val="20"/>
        </w:rPr>
        <w:t>E</w:t>
      </w:r>
      <w:r w:rsidR="006C27A8">
        <w:rPr>
          <w:rFonts w:ascii="Verdana" w:hAnsi="Verdana"/>
          <w:bCs/>
          <w:sz w:val="20"/>
          <w:szCs w:val="20"/>
        </w:rPr>
        <w:t>n sociedades envejecidas como la</w:t>
      </w:r>
      <w:r w:rsidR="006C27A8">
        <w:rPr>
          <w:rFonts w:ascii="Verdana" w:hAnsi="Verdana"/>
          <w:bCs/>
          <w:sz w:val="20"/>
          <w:szCs w:val="20"/>
        </w:rPr>
        <w:t>s</w:t>
      </w:r>
      <w:r w:rsidR="006C27A8">
        <w:rPr>
          <w:rFonts w:ascii="Verdana" w:hAnsi="Verdana"/>
          <w:bCs/>
          <w:sz w:val="20"/>
          <w:szCs w:val="20"/>
        </w:rPr>
        <w:t xml:space="preserve"> europea</w:t>
      </w:r>
      <w:r w:rsidR="006C27A8">
        <w:rPr>
          <w:rFonts w:ascii="Verdana" w:hAnsi="Verdana"/>
          <w:bCs/>
          <w:sz w:val="20"/>
          <w:szCs w:val="20"/>
        </w:rPr>
        <w:t>s</w:t>
      </w:r>
      <w:r w:rsidR="006C27A8">
        <w:rPr>
          <w:rFonts w:ascii="Verdana" w:hAnsi="Verdana"/>
          <w:bCs/>
          <w:sz w:val="20"/>
          <w:szCs w:val="20"/>
        </w:rPr>
        <w:t>,</w:t>
      </w:r>
      <w:r w:rsidR="006C27A8">
        <w:rPr>
          <w:rFonts w:ascii="Verdana" w:hAnsi="Verdana"/>
          <w:bCs/>
          <w:sz w:val="20"/>
          <w:szCs w:val="20"/>
        </w:rPr>
        <w:t xml:space="preserve"> la agregación de estas </w:t>
      </w:r>
      <w:r w:rsidR="004662FA">
        <w:rPr>
          <w:rFonts w:ascii="Verdana" w:hAnsi="Verdana"/>
          <w:bCs/>
          <w:sz w:val="20"/>
          <w:szCs w:val="20"/>
        </w:rPr>
        <w:t xml:space="preserve">decisiones </w:t>
      </w:r>
      <w:r w:rsidR="006C27A8">
        <w:rPr>
          <w:rFonts w:ascii="Verdana" w:hAnsi="Verdana"/>
          <w:bCs/>
          <w:sz w:val="20"/>
          <w:szCs w:val="20"/>
        </w:rPr>
        <w:t>individuales</w:t>
      </w:r>
      <w:r w:rsidR="004662FA">
        <w:rPr>
          <w:rFonts w:ascii="Verdana" w:hAnsi="Verdana"/>
          <w:bCs/>
          <w:sz w:val="20"/>
          <w:szCs w:val="20"/>
        </w:rPr>
        <w:t xml:space="preserve"> </w:t>
      </w:r>
      <w:r w:rsidR="00947B4F">
        <w:rPr>
          <w:rFonts w:ascii="Verdana" w:hAnsi="Verdana"/>
          <w:bCs/>
          <w:sz w:val="20"/>
          <w:szCs w:val="20"/>
        </w:rPr>
        <w:t>repercute</w:t>
      </w:r>
      <w:r w:rsidR="006C27A8">
        <w:rPr>
          <w:rFonts w:ascii="Verdana" w:hAnsi="Verdana"/>
          <w:bCs/>
          <w:sz w:val="20"/>
          <w:szCs w:val="20"/>
        </w:rPr>
        <w:t xml:space="preserve"> directamente </w:t>
      </w:r>
      <w:r w:rsidR="00947B4F">
        <w:rPr>
          <w:rFonts w:ascii="Verdana" w:hAnsi="Verdana"/>
          <w:bCs/>
          <w:sz w:val="20"/>
          <w:szCs w:val="20"/>
        </w:rPr>
        <w:t>en</w:t>
      </w:r>
      <w:r w:rsidR="004662FA">
        <w:rPr>
          <w:rFonts w:ascii="Verdana" w:hAnsi="Verdana"/>
          <w:bCs/>
          <w:sz w:val="20"/>
          <w:szCs w:val="20"/>
        </w:rPr>
        <w:t xml:space="preserve"> </w:t>
      </w:r>
      <w:r w:rsidR="00947B4F">
        <w:rPr>
          <w:rFonts w:ascii="Verdana" w:hAnsi="Verdana"/>
          <w:bCs/>
          <w:sz w:val="20"/>
          <w:szCs w:val="20"/>
        </w:rPr>
        <w:t>l</w:t>
      </w:r>
      <w:r w:rsidR="004662FA">
        <w:rPr>
          <w:rFonts w:ascii="Verdana" w:hAnsi="Verdana"/>
          <w:bCs/>
          <w:sz w:val="20"/>
          <w:szCs w:val="20"/>
        </w:rPr>
        <w:t xml:space="preserve">a sostenibilidad de los sistemas </w:t>
      </w:r>
      <w:r w:rsidR="00D07C0A">
        <w:rPr>
          <w:rFonts w:ascii="Verdana" w:hAnsi="Verdana"/>
          <w:bCs/>
          <w:sz w:val="20"/>
          <w:szCs w:val="20"/>
        </w:rPr>
        <w:t xml:space="preserve">públicos </w:t>
      </w:r>
      <w:r w:rsidR="004662FA">
        <w:rPr>
          <w:rFonts w:ascii="Verdana" w:hAnsi="Verdana"/>
          <w:bCs/>
          <w:sz w:val="20"/>
          <w:szCs w:val="20"/>
        </w:rPr>
        <w:t>de pensiones</w:t>
      </w:r>
      <w:r w:rsidR="008229CF">
        <w:rPr>
          <w:rFonts w:ascii="Verdana" w:hAnsi="Verdana"/>
          <w:bCs/>
          <w:sz w:val="20"/>
          <w:szCs w:val="20"/>
        </w:rPr>
        <w:t>,</w:t>
      </w:r>
      <w:r w:rsidR="004662FA">
        <w:rPr>
          <w:rFonts w:ascii="Verdana" w:hAnsi="Verdana"/>
          <w:bCs/>
          <w:sz w:val="20"/>
          <w:szCs w:val="20"/>
        </w:rPr>
        <w:t xml:space="preserve"> dado </w:t>
      </w:r>
      <w:r w:rsidR="008229CF">
        <w:rPr>
          <w:rFonts w:ascii="Verdana" w:hAnsi="Verdana"/>
          <w:bCs/>
          <w:sz w:val="20"/>
          <w:szCs w:val="20"/>
        </w:rPr>
        <w:t xml:space="preserve">que </w:t>
      </w:r>
      <w:r w:rsidR="00947B4F">
        <w:rPr>
          <w:rFonts w:ascii="Verdana" w:hAnsi="Verdana"/>
          <w:bCs/>
          <w:sz w:val="20"/>
          <w:szCs w:val="20"/>
        </w:rPr>
        <w:t xml:space="preserve">afectan </w:t>
      </w:r>
      <w:r w:rsidR="00947B4F" w:rsidRPr="00947B4F">
        <w:rPr>
          <w:rFonts w:ascii="Verdana" w:hAnsi="Verdana"/>
          <w:bCs/>
          <w:sz w:val="20"/>
          <w:szCs w:val="20"/>
        </w:rPr>
        <w:t>a</w:t>
      </w:r>
      <w:r w:rsidR="004662FA" w:rsidRPr="00947B4F">
        <w:rPr>
          <w:rFonts w:ascii="Verdana" w:hAnsi="Verdana"/>
          <w:bCs/>
          <w:sz w:val="20"/>
          <w:szCs w:val="20"/>
        </w:rPr>
        <w:t xml:space="preserve"> </w:t>
      </w:r>
      <w:r w:rsidR="00947B4F" w:rsidRPr="00947B4F">
        <w:rPr>
          <w:rFonts w:ascii="Verdana" w:hAnsi="Verdana"/>
          <w:bCs/>
          <w:sz w:val="20"/>
          <w:szCs w:val="20"/>
        </w:rPr>
        <w:t xml:space="preserve">la clave de bóveda </w:t>
      </w:r>
      <w:r w:rsidR="00D07C0A">
        <w:rPr>
          <w:rFonts w:ascii="Verdana" w:hAnsi="Verdana"/>
          <w:bCs/>
          <w:sz w:val="20"/>
          <w:szCs w:val="20"/>
        </w:rPr>
        <w:t>de los</w:t>
      </w:r>
      <w:r w:rsidR="00947B4F" w:rsidRPr="00947B4F">
        <w:rPr>
          <w:rFonts w:ascii="Verdana" w:hAnsi="Verdana"/>
          <w:bCs/>
          <w:sz w:val="20"/>
          <w:szCs w:val="20"/>
        </w:rPr>
        <w:t xml:space="preserve"> sistema</w:t>
      </w:r>
      <w:r w:rsidR="00D07C0A">
        <w:rPr>
          <w:rFonts w:ascii="Verdana" w:hAnsi="Verdana"/>
          <w:bCs/>
          <w:sz w:val="20"/>
          <w:szCs w:val="20"/>
        </w:rPr>
        <w:t>s de reparto</w:t>
      </w:r>
      <w:r w:rsidR="00947B4F" w:rsidRPr="00947B4F">
        <w:rPr>
          <w:rFonts w:ascii="Verdana" w:hAnsi="Verdana"/>
          <w:bCs/>
          <w:sz w:val="20"/>
          <w:szCs w:val="20"/>
        </w:rPr>
        <w:t xml:space="preserve">, </w:t>
      </w:r>
      <w:r w:rsidR="004662FA" w:rsidRPr="00947B4F">
        <w:rPr>
          <w:rFonts w:ascii="Verdana" w:hAnsi="Verdana"/>
          <w:bCs/>
          <w:sz w:val="20"/>
          <w:szCs w:val="20"/>
        </w:rPr>
        <w:t>la ratio entre cotizantes y beneficiarios</w:t>
      </w:r>
      <w:r w:rsidR="00D07C0A">
        <w:rPr>
          <w:rFonts w:ascii="Verdana" w:hAnsi="Verdana"/>
          <w:bCs/>
          <w:sz w:val="20"/>
          <w:szCs w:val="20"/>
        </w:rPr>
        <w:t>.</w:t>
      </w:r>
      <w:r w:rsidR="004662FA" w:rsidRPr="00947B4F">
        <w:rPr>
          <w:rFonts w:ascii="Verdana" w:hAnsi="Verdana"/>
          <w:bCs/>
          <w:sz w:val="20"/>
          <w:szCs w:val="20"/>
        </w:rPr>
        <w:t xml:space="preserve"> </w:t>
      </w:r>
    </w:p>
    <w:sectPr w:rsidR="006529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95" w:rsidRDefault="002E5095" w:rsidP="00B7253F">
      <w:pPr>
        <w:spacing w:after="0"/>
      </w:pPr>
      <w:r>
        <w:separator/>
      </w:r>
    </w:p>
  </w:endnote>
  <w:endnote w:type="continuationSeparator" w:id="0">
    <w:p w:rsidR="002E5095" w:rsidRDefault="002E5095" w:rsidP="00B72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95" w:rsidRDefault="002E5095" w:rsidP="00B7253F">
      <w:pPr>
        <w:spacing w:after="0"/>
      </w:pPr>
      <w:r>
        <w:separator/>
      </w:r>
    </w:p>
  </w:footnote>
  <w:footnote w:type="continuationSeparator" w:id="0">
    <w:p w:rsidR="002E5095" w:rsidRDefault="002E5095" w:rsidP="00B7253F">
      <w:pPr>
        <w:spacing w:after="0"/>
      </w:pPr>
      <w:r>
        <w:continuationSeparator/>
      </w:r>
    </w:p>
  </w:footnote>
  <w:footnote w:id="1">
    <w:p w:rsidR="003E414B" w:rsidRPr="006529E2" w:rsidRDefault="00F0747C" w:rsidP="00F0747C">
      <w:pPr>
        <w:pStyle w:val="Textonotapie"/>
        <w:rPr>
          <w:rFonts w:ascii="Verdana" w:hAnsi="Verdana"/>
          <w:sz w:val="16"/>
          <w:szCs w:val="16"/>
          <w:lang w:val="en-GB"/>
        </w:rPr>
      </w:pPr>
      <w:r w:rsidRPr="00A1334C">
        <w:rPr>
          <w:rStyle w:val="Refdenotaalpie"/>
          <w:rFonts w:ascii="Verdana" w:hAnsi="Verdana"/>
          <w:sz w:val="16"/>
          <w:szCs w:val="16"/>
        </w:rPr>
        <w:footnoteRef/>
      </w:r>
      <w:r w:rsidRPr="00A1334C">
        <w:rPr>
          <w:rFonts w:ascii="Verdana" w:hAnsi="Verdana"/>
          <w:sz w:val="16"/>
          <w:szCs w:val="16"/>
        </w:rPr>
        <w:t xml:space="preserve"> Doctor en Sociología. Profesor del Departamento de Sociología de la Universidad de Oviedo (España).</w:t>
      </w:r>
      <w:r w:rsidR="003E414B" w:rsidRPr="00A1334C">
        <w:rPr>
          <w:rFonts w:ascii="Verdana" w:hAnsi="Verdana"/>
          <w:sz w:val="16"/>
          <w:szCs w:val="16"/>
        </w:rPr>
        <w:t xml:space="preserve"> </w:t>
      </w:r>
      <w:r w:rsidR="00E26D70">
        <w:rPr>
          <w:rFonts w:ascii="Verdana" w:hAnsi="Verdana"/>
          <w:sz w:val="16"/>
          <w:szCs w:val="16"/>
        </w:rPr>
        <w:t xml:space="preserve">Grupo de investigación PROMEBI. </w:t>
      </w:r>
      <w:hyperlink r:id="rId1" w:history="1">
        <w:r w:rsidR="003E414B" w:rsidRPr="006529E2">
          <w:rPr>
            <w:rStyle w:val="Hipervnculo"/>
            <w:rFonts w:ascii="Verdana" w:hAnsi="Verdana"/>
            <w:sz w:val="16"/>
            <w:szCs w:val="16"/>
            <w:lang w:val="en-GB"/>
          </w:rPr>
          <w:t>luquedavid@uniovi.es</w:t>
        </w:r>
      </w:hyperlink>
    </w:p>
  </w:footnote>
  <w:footnote w:id="2">
    <w:p w:rsidR="006529E2" w:rsidRPr="00E26D70" w:rsidRDefault="006529E2" w:rsidP="006529E2">
      <w:pPr>
        <w:pStyle w:val="Textonotapie"/>
        <w:rPr>
          <w:rFonts w:ascii="Verdana" w:hAnsi="Verdana"/>
          <w:sz w:val="16"/>
          <w:szCs w:val="16"/>
          <w:lang w:val="en-GB"/>
        </w:rPr>
      </w:pPr>
      <w:r w:rsidRPr="00A1334C">
        <w:rPr>
          <w:rStyle w:val="Refdenotaalpie"/>
          <w:rFonts w:ascii="Verdana" w:hAnsi="Verdana"/>
          <w:sz w:val="16"/>
          <w:szCs w:val="16"/>
        </w:rPr>
        <w:footnoteRef/>
      </w:r>
      <w:r w:rsidRPr="00A1334C">
        <w:rPr>
          <w:rFonts w:ascii="Verdana" w:hAnsi="Verdana"/>
          <w:sz w:val="16"/>
          <w:szCs w:val="16"/>
        </w:rPr>
        <w:t xml:space="preserve"> Doctora en Sociología. Catedrática del Departamento de Sociología de la Universidad de Oviedo (España). </w:t>
      </w:r>
      <w:proofErr w:type="spellStart"/>
      <w:r w:rsidR="00E26D70" w:rsidRPr="00E26D70">
        <w:rPr>
          <w:rFonts w:ascii="Verdana" w:hAnsi="Verdana"/>
          <w:sz w:val="16"/>
          <w:szCs w:val="16"/>
          <w:lang w:val="en-GB"/>
        </w:rPr>
        <w:t>Grupo</w:t>
      </w:r>
      <w:proofErr w:type="spellEnd"/>
      <w:r w:rsidR="00E26D70" w:rsidRPr="00E26D70">
        <w:rPr>
          <w:rFonts w:ascii="Verdana" w:hAnsi="Verdana"/>
          <w:sz w:val="16"/>
          <w:szCs w:val="16"/>
          <w:lang w:val="en-GB"/>
        </w:rPr>
        <w:t xml:space="preserve"> de </w:t>
      </w:r>
      <w:proofErr w:type="spellStart"/>
      <w:r w:rsidR="00E26D70" w:rsidRPr="00E26D70">
        <w:rPr>
          <w:rFonts w:ascii="Verdana" w:hAnsi="Verdana"/>
          <w:sz w:val="16"/>
          <w:szCs w:val="16"/>
          <w:lang w:val="en-GB"/>
        </w:rPr>
        <w:t>investigación</w:t>
      </w:r>
      <w:proofErr w:type="spellEnd"/>
      <w:r w:rsidR="00E26D70" w:rsidRPr="00E26D70">
        <w:rPr>
          <w:rFonts w:ascii="Verdana" w:hAnsi="Verdana"/>
          <w:sz w:val="16"/>
          <w:szCs w:val="16"/>
          <w:lang w:val="en-GB"/>
        </w:rPr>
        <w:t xml:space="preserve"> PROMEBI.</w:t>
      </w:r>
      <w:r w:rsidR="00E26D70" w:rsidRPr="00E26D70">
        <w:rPr>
          <w:rStyle w:val="Hipervnculo"/>
          <w:rFonts w:ascii="Verdana" w:hAnsi="Verdana"/>
          <w:color w:val="auto"/>
          <w:sz w:val="16"/>
          <w:szCs w:val="16"/>
          <w:u w:val="none"/>
          <w:lang w:val="en-GB"/>
        </w:rPr>
        <w:t xml:space="preserve"> </w:t>
      </w:r>
      <w:hyperlink r:id="rId2" w:history="1">
        <w:r w:rsidRPr="00E26D70">
          <w:rPr>
            <w:rStyle w:val="Hipervnculo"/>
            <w:rFonts w:ascii="Verdana" w:hAnsi="Verdana"/>
            <w:sz w:val="16"/>
            <w:szCs w:val="16"/>
            <w:lang w:val="en-GB"/>
          </w:rPr>
          <w:t>aguillen@uniovi.es</w:t>
        </w:r>
      </w:hyperlink>
    </w:p>
  </w:footnote>
  <w:footnote w:id="3">
    <w:p w:rsidR="00B7253F" w:rsidRPr="006529E2" w:rsidRDefault="00B7253F">
      <w:pPr>
        <w:pStyle w:val="Textonotapie"/>
        <w:rPr>
          <w:rFonts w:ascii="Verdana" w:hAnsi="Verdana"/>
          <w:sz w:val="16"/>
          <w:szCs w:val="16"/>
          <w:lang w:val="en-GB"/>
        </w:rPr>
      </w:pPr>
      <w:r w:rsidRPr="00A1334C">
        <w:rPr>
          <w:rStyle w:val="Refdenotaalpie"/>
          <w:rFonts w:ascii="Verdana" w:hAnsi="Verdana"/>
          <w:sz w:val="16"/>
          <w:szCs w:val="16"/>
        </w:rPr>
        <w:footnoteRef/>
      </w:r>
      <w:r w:rsidRPr="006529E2">
        <w:rPr>
          <w:rFonts w:ascii="Verdana" w:hAnsi="Verdana"/>
          <w:sz w:val="16"/>
          <w:szCs w:val="16"/>
          <w:lang w:val="en-GB"/>
        </w:rPr>
        <w:t xml:space="preserve"> </w:t>
      </w:r>
      <w:proofErr w:type="spellStart"/>
      <w:r w:rsidRPr="006529E2">
        <w:rPr>
          <w:rFonts w:ascii="Verdana" w:hAnsi="Verdana"/>
          <w:sz w:val="16"/>
          <w:szCs w:val="16"/>
          <w:lang w:val="en-GB"/>
        </w:rPr>
        <w:t>Guillemard</w:t>
      </w:r>
      <w:proofErr w:type="spellEnd"/>
      <w:r w:rsidRPr="006529E2">
        <w:rPr>
          <w:rFonts w:ascii="Verdana" w:hAnsi="Verdana"/>
          <w:sz w:val="16"/>
          <w:szCs w:val="16"/>
          <w:lang w:val="en-GB"/>
        </w:rPr>
        <w:t>, A. M. (2016). France: working longer takes time, in spite of reforms to raise the retirement age. Australian Journal of Social Issues, 51(2), 127-146.</w:t>
      </w:r>
    </w:p>
  </w:footnote>
  <w:footnote w:id="4">
    <w:p w:rsidR="00B7253F" w:rsidRPr="006529E2" w:rsidRDefault="00B7253F">
      <w:pPr>
        <w:pStyle w:val="Textonotapie"/>
        <w:rPr>
          <w:rFonts w:ascii="Verdana" w:hAnsi="Verdana"/>
          <w:sz w:val="16"/>
          <w:szCs w:val="16"/>
          <w:lang w:val="en-GB"/>
        </w:rPr>
      </w:pPr>
      <w:r w:rsidRPr="00A1334C">
        <w:rPr>
          <w:rStyle w:val="Refdenotaalpie"/>
          <w:rFonts w:ascii="Verdana" w:hAnsi="Verdana"/>
          <w:sz w:val="16"/>
          <w:szCs w:val="16"/>
        </w:rPr>
        <w:footnoteRef/>
      </w:r>
      <w:r w:rsidRPr="006529E2">
        <w:rPr>
          <w:rFonts w:ascii="Verdana" w:hAnsi="Verdana"/>
          <w:sz w:val="16"/>
          <w:szCs w:val="16"/>
          <w:lang w:val="en-GB"/>
        </w:rPr>
        <w:t xml:space="preserve"> </w:t>
      </w:r>
      <w:proofErr w:type="spellStart"/>
      <w:r w:rsidRPr="006529E2">
        <w:rPr>
          <w:rFonts w:ascii="Verdana" w:hAnsi="Verdana"/>
          <w:sz w:val="16"/>
          <w:szCs w:val="16"/>
          <w:lang w:val="en-GB"/>
        </w:rPr>
        <w:t>Staubli</w:t>
      </w:r>
      <w:proofErr w:type="spellEnd"/>
      <w:r w:rsidRPr="006529E2">
        <w:rPr>
          <w:rFonts w:ascii="Verdana" w:hAnsi="Verdana"/>
          <w:sz w:val="16"/>
          <w:szCs w:val="16"/>
          <w:lang w:val="en-GB"/>
        </w:rPr>
        <w:t xml:space="preserve">, S. y </w:t>
      </w:r>
      <w:proofErr w:type="spellStart"/>
      <w:r w:rsidRPr="006529E2">
        <w:rPr>
          <w:rFonts w:ascii="Verdana" w:hAnsi="Verdana"/>
          <w:sz w:val="16"/>
          <w:szCs w:val="16"/>
          <w:lang w:val="en-GB"/>
        </w:rPr>
        <w:t>Zweimüller</w:t>
      </w:r>
      <w:proofErr w:type="spellEnd"/>
      <w:r w:rsidRPr="006529E2">
        <w:rPr>
          <w:rFonts w:ascii="Verdana" w:hAnsi="Verdana"/>
          <w:sz w:val="16"/>
          <w:szCs w:val="16"/>
          <w:lang w:val="en-GB"/>
        </w:rPr>
        <w:t>, J. (2013). Does raising the early retirement age increase employment of older workers? Journal of public economics, 108, 17-32.</w:t>
      </w:r>
    </w:p>
  </w:footnote>
  <w:footnote w:id="5">
    <w:p w:rsidR="00B7253F" w:rsidRPr="006529E2" w:rsidRDefault="00B7253F">
      <w:pPr>
        <w:pStyle w:val="Textonotapie"/>
        <w:rPr>
          <w:rFonts w:ascii="Verdana" w:hAnsi="Verdana"/>
          <w:sz w:val="16"/>
          <w:szCs w:val="16"/>
          <w:lang w:val="en-GB"/>
        </w:rPr>
      </w:pPr>
      <w:r w:rsidRPr="00A1334C">
        <w:rPr>
          <w:rStyle w:val="Refdenotaalpie"/>
          <w:rFonts w:ascii="Verdana" w:hAnsi="Verdana"/>
          <w:sz w:val="16"/>
          <w:szCs w:val="16"/>
        </w:rPr>
        <w:footnoteRef/>
      </w:r>
      <w:r w:rsidRPr="006529E2">
        <w:rPr>
          <w:rFonts w:ascii="Verdana" w:hAnsi="Verdana"/>
          <w:sz w:val="16"/>
          <w:szCs w:val="16"/>
          <w:lang w:val="en-GB"/>
        </w:rPr>
        <w:t xml:space="preserve"> Sánchez-Martín, A. R., García-Pérez, J. I., y Jiménez-Martín, S. (2014). Delaying the normal and early retirement ages in Spain: behavioural and welfare consequences for employed and unemployed workers. De Economist, 162(4), 341-375.</w:t>
      </w:r>
    </w:p>
  </w:footnote>
  <w:footnote w:id="6">
    <w:p w:rsidR="00B7253F" w:rsidRPr="006529E2" w:rsidRDefault="00B7253F" w:rsidP="00B7253F">
      <w:pPr>
        <w:pStyle w:val="Textonotapie"/>
        <w:rPr>
          <w:rFonts w:ascii="Verdana" w:hAnsi="Verdana"/>
          <w:sz w:val="16"/>
          <w:szCs w:val="16"/>
          <w:lang w:val="en-GB"/>
        </w:rPr>
      </w:pPr>
      <w:r w:rsidRPr="00A1334C">
        <w:rPr>
          <w:rStyle w:val="Refdenotaalpie"/>
          <w:rFonts w:ascii="Verdana" w:hAnsi="Verdana"/>
          <w:sz w:val="16"/>
          <w:szCs w:val="16"/>
        </w:rPr>
        <w:footnoteRef/>
      </w:r>
      <w:r w:rsidRPr="006529E2">
        <w:rPr>
          <w:rFonts w:ascii="Verdana" w:hAnsi="Verdana"/>
          <w:sz w:val="16"/>
          <w:szCs w:val="16"/>
          <w:lang w:val="en-GB"/>
        </w:rPr>
        <w:t xml:space="preserve"> Purcell, P. (2007). Older workers: Employment and retirement trends (RS30629) [Electronic version]. Washington, DC: Congressional Research Service.</w:t>
      </w:r>
    </w:p>
  </w:footnote>
  <w:footnote w:id="7">
    <w:p w:rsidR="00B7253F" w:rsidRPr="006529E2" w:rsidRDefault="00B7253F">
      <w:pPr>
        <w:pStyle w:val="Textonotapie"/>
        <w:rPr>
          <w:rFonts w:ascii="Verdana" w:hAnsi="Verdana"/>
          <w:sz w:val="16"/>
          <w:szCs w:val="16"/>
          <w:lang w:val="en-GB"/>
        </w:rPr>
      </w:pPr>
      <w:r w:rsidRPr="00A1334C">
        <w:rPr>
          <w:rStyle w:val="Refdenotaalpie"/>
          <w:rFonts w:ascii="Verdana" w:hAnsi="Verdana"/>
          <w:sz w:val="16"/>
          <w:szCs w:val="16"/>
        </w:rPr>
        <w:footnoteRef/>
      </w:r>
      <w:r w:rsidRPr="006529E2">
        <w:rPr>
          <w:rFonts w:ascii="Verdana" w:hAnsi="Verdana"/>
          <w:sz w:val="16"/>
          <w:szCs w:val="16"/>
          <w:lang w:val="en-GB"/>
        </w:rPr>
        <w:t xml:space="preserve"> Phillipson, C. y Smith, A. (2005) Extending working life: A review of the research literature. Department for Work and Pension, Research Report No 299.</w:t>
      </w:r>
    </w:p>
  </w:footnote>
  <w:footnote w:id="8">
    <w:p w:rsidR="00B7253F" w:rsidRPr="006529E2" w:rsidRDefault="00B7253F">
      <w:pPr>
        <w:pStyle w:val="Textonotapie"/>
        <w:rPr>
          <w:rFonts w:ascii="Verdana" w:hAnsi="Verdana"/>
          <w:sz w:val="16"/>
          <w:szCs w:val="16"/>
          <w:lang w:val="en-GB"/>
        </w:rPr>
      </w:pPr>
      <w:r w:rsidRPr="00A1334C">
        <w:rPr>
          <w:rStyle w:val="Refdenotaalpie"/>
          <w:rFonts w:ascii="Verdana" w:hAnsi="Verdana"/>
          <w:sz w:val="16"/>
          <w:szCs w:val="16"/>
        </w:rPr>
        <w:footnoteRef/>
      </w:r>
      <w:r w:rsidRPr="006529E2">
        <w:rPr>
          <w:rFonts w:ascii="Verdana" w:hAnsi="Verdana"/>
          <w:sz w:val="16"/>
          <w:szCs w:val="16"/>
          <w:lang w:val="en-GB"/>
        </w:rPr>
        <w:t xml:space="preserve"> García-Pérez, J.I.; Jiménez-Martín, S. y Sánchez-Martín, A. (2013). Retirement incentives, individual heterogeneity and </w:t>
      </w:r>
      <w:proofErr w:type="spellStart"/>
      <w:r w:rsidRPr="006529E2">
        <w:rPr>
          <w:rFonts w:ascii="Verdana" w:hAnsi="Verdana"/>
          <w:sz w:val="16"/>
          <w:szCs w:val="16"/>
          <w:lang w:val="en-GB"/>
        </w:rPr>
        <w:t>labor</w:t>
      </w:r>
      <w:proofErr w:type="spellEnd"/>
      <w:r w:rsidRPr="006529E2">
        <w:rPr>
          <w:rFonts w:ascii="Verdana" w:hAnsi="Verdana"/>
          <w:sz w:val="16"/>
          <w:szCs w:val="16"/>
          <w:lang w:val="en-GB"/>
        </w:rPr>
        <w:t xml:space="preserve"> transitions of employed and unemployed workers. Labour Economics, 20, 106-120</w:t>
      </w:r>
    </w:p>
  </w:footnote>
  <w:footnote w:id="9">
    <w:p w:rsidR="00B7253F" w:rsidRPr="006529E2" w:rsidRDefault="00B7253F">
      <w:pPr>
        <w:pStyle w:val="Textonotapie"/>
        <w:rPr>
          <w:rFonts w:ascii="Verdana" w:hAnsi="Verdana"/>
          <w:sz w:val="16"/>
          <w:szCs w:val="16"/>
          <w:lang w:val="en-GB"/>
        </w:rPr>
      </w:pPr>
      <w:r w:rsidRPr="00A1334C">
        <w:rPr>
          <w:rStyle w:val="Refdenotaalpie"/>
          <w:rFonts w:ascii="Verdana" w:hAnsi="Verdana"/>
          <w:sz w:val="16"/>
          <w:szCs w:val="16"/>
        </w:rPr>
        <w:footnoteRef/>
      </w:r>
      <w:r w:rsidRPr="006529E2">
        <w:rPr>
          <w:rFonts w:ascii="Verdana" w:hAnsi="Verdana"/>
          <w:sz w:val="16"/>
          <w:szCs w:val="16"/>
          <w:lang w:val="en-GB"/>
        </w:rPr>
        <w:t xml:space="preserve"> Marmora, P., y Ritter, M. (2015). Unemployment and the retirement decisions of older workers. Journal of </w:t>
      </w:r>
      <w:proofErr w:type="spellStart"/>
      <w:r w:rsidRPr="006529E2">
        <w:rPr>
          <w:rFonts w:ascii="Verdana" w:hAnsi="Verdana"/>
          <w:sz w:val="16"/>
          <w:szCs w:val="16"/>
          <w:lang w:val="en-GB"/>
        </w:rPr>
        <w:t>Labor</w:t>
      </w:r>
      <w:proofErr w:type="spellEnd"/>
      <w:r w:rsidRPr="006529E2">
        <w:rPr>
          <w:rFonts w:ascii="Verdana" w:hAnsi="Verdana"/>
          <w:sz w:val="16"/>
          <w:szCs w:val="16"/>
          <w:lang w:val="en-GB"/>
        </w:rPr>
        <w:t xml:space="preserve"> Research, 36(3), 274-290.</w:t>
      </w:r>
    </w:p>
  </w:footnote>
  <w:footnote w:id="10">
    <w:p w:rsidR="00B7253F" w:rsidRPr="00A1334C" w:rsidRDefault="00B7253F">
      <w:pPr>
        <w:pStyle w:val="Textonotapie"/>
        <w:rPr>
          <w:rFonts w:ascii="Verdana" w:hAnsi="Verdana"/>
          <w:sz w:val="16"/>
          <w:szCs w:val="16"/>
        </w:rPr>
      </w:pPr>
      <w:r w:rsidRPr="00A1334C">
        <w:rPr>
          <w:rStyle w:val="Refdenotaalpie"/>
          <w:rFonts w:ascii="Verdana" w:hAnsi="Verdana"/>
          <w:sz w:val="16"/>
          <w:szCs w:val="16"/>
        </w:rPr>
        <w:footnoteRef/>
      </w:r>
      <w:r w:rsidRPr="006529E2">
        <w:rPr>
          <w:rFonts w:ascii="Verdana" w:hAnsi="Verdana"/>
          <w:sz w:val="16"/>
          <w:szCs w:val="16"/>
          <w:lang w:val="en-GB"/>
        </w:rPr>
        <w:t xml:space="preserve"> </w:t>
      </w:r>
      <w:proofErr w:type="spellStart"/>
      <w:r w:rsidRPr="006529E2">
        <w:rPr>
          <w:rFonts w:ascii="Verdana" w:hAnsi="Verdana"/>
          <w:sz w:val="16"/>
          <w:szCs w:val="16"/>
          <w:lang w:val="en-GB"/>
        </w:rPr>
        <w:t>Baguelin</w:t>
      </w:r>
      <w:proofErr w:type="spellEnd"/>
      <w:r w:rsidRPr="006529E2">
        <w:rPr>
          <w:rFonts w:ascii="Verdana" w:hAnsi="Verdana"/>
          <w:sz w:val="16"/>
          <w:szCs w:val="16"/>
          <w:lang w:val="en-GB"/>
        </w:rPr>
        <w:t xml:space="preserve">, O. y </w:t>
      </w:r>
      <w:proofErr w:type="spellStart"/>
      <w:r w:rsidRPr="006529E2">
        <w:rPr>
          <w:rFonts w:ascii="Verdana" w:hAnsi="Verdana"/>
          <w:sz w:val="16"/>
          <w:szCs w:val="16"/>
          <w:lang w:val="en-GB"/>
        </w:rPr>
        <w:t>Remillon</w:t>
      </w:r>
      <w:proofErr w:type="spellEnd"/>
      <w:r w:rsidRPr="006529E2">
        <w:rPr>
          <w:rFonts w:ascii="Verdana" w:hAnsi="Verdana"/>
          <w:sz w:val="16"/>
          <w:szCs w:val="16"/>
          <w:lang w:val="en-GB"/>
        </w:rPr>
        <w:t xml:space="preserve">, D. (2014). Unemployment insurance and management of the older workforce in a dual </w:t>
      </w:r>
      <w:proofErr w:type="spellStart"/>
      <w:r w:rsidRPr="006529E2">
        <w:rPr>
          <w:rFonts w:ascii="Verdana" w:hAnsi="Verdana"/>
          <w:sz w:val="16"/>
          <w:szCs w:val="16"/>
          <w:lang w:val="en-GB"/>
        </w:rPr>
        <w:t>labor</w:t>
      </w:r>
      <w:proofErr w:type="spellEnd"/>
      <w:r w:rsidRPr="006529E2">
        <w:rPr>
          <w:rFonts w:ascii="Verdana" w:hAnsi="Verdana"/>
          <w:sz w:val="16"/>
          <w:szCs w:val="16"/>
          <w:lang w:val="en-GB"/>
        </w:rPr>
        <w:t xml:space="preserve"> market: Evidence from France. </w:t>
      </w:r>
      <w:proofErr w:type="spellStart"/>
      <w:r w:rsidRPr="00A1334C">
        <w:rPr>
          <w:rFonts w:ascii="Verdana" w:hAnsi="Verdana"/>
          <w:sz w:val="16"/>
          <w:szCs w:val="16"/>
        </w:rPr>
        <w:t>Labour</w:t>
      </w:r>
      <w:proofErr w:type="spellEnd"/>
      <w:r w:rsidRPr="00A1334C">
        <w:rPr>
          <w:rFonts w:ascii="Verdana" w:hAnsi="Verdana"/>
          <w:sz w:val="16"/>
          <w:szCs w:val="16"/>
        </w:rPr>
        <w:t xml:space="preserve"> </w:t>
      </w:r>
      <w:proofErr w:type="spellStart"/>
      <w:r w:rsidRPr="00A1334C">
        <w:rPr>
          <w:rFonts w:ascii="Verdana" w:hAnsi="Verdana"/>
          <w:sz w:val="16"/>
          <w:szCs w:val="16"/>
        </w:rPr>
        <w:t>Economics</w:t>
      </w:r>
      <w:proofErr w:type="spellEnd"/>
      <w:r w:rsidRPr="00A1334C">
        <w:rPr>
          <w:rFonts w:ascii="Verdana" w:hAnsi="Verdana"/>
          <w:sz w:val="16"/>
          <w:szCs w:val="16"/>
        </w:rPr>
        <w:t>, 30, 245-264.</w:t>
      </w:r>
    </w:p>
  </w:footnote>
  <w:footnote w:id="11">
    <w:p w:rsidR="00B7253F" w:rsidRPr="006529E2" w:rsidRDefault="00B7253F">
      <w:pPr>
        <w:pStyle w:val="Textonotapie"/>
        <w:rPr>
          <w:lang w:val="en-GB"/>
        </w:rPr>
      </w:pPr>
      <w:r w:rsidRPr="00A1334C">
        <w:rPr>
          <w:rStyle w:val="Refdenotaalpie"/>
          <w:rFonts w:ascii="Verdana" w:hAnsi="Verdana"/>
          <w:sz w:val="16"/>
          <w:szCs w:val="16"/>
        </w:rPr>
        <w:footnoteRef/>
      </w:r>
      <w:r w:rsidRPr="00A1334C">
        <w:rPr>
          <w:rFonts w:ascii="Verdana" w:hAnsi="Verdana"/>
          <w:sz w:val="16"/>
          <w:szCs w:val="16"/>
        </w:rPr>
        <w:t xml:space="preserve"> García-Gómez, P., Jiménez-Martin, S., y Castelló, J. V. (2018). </w:t>
      </w:r>
      <w:r w:rsidRPr="006529E2">
        <w:rPr>
          <w:rFonts w:ascii="Verdana" w:hAnsi="Verdana"/>
          <w:sz w:val="16"/>
          <w:szCs w:val="16"/>
          <w:lang w:val="en-GB"/>
        </w:rPr>
        <w:t xml:space="preserve">Trends in </w:t>
      </w:r>
      <w:proofErr w:type="spellStart"/>
      <w:r w:rsidRPr="006529E2">
        <w:rPr>
          <w:rFonts w:ascii="Verdana" w:hAnsi="Verdana"/>
          <w:sz w:val="16"/>
          <w:szCs w:val="16"/>
          <w:lang w:val="en-GB"/>
        </w:rPr>
        <w:t>labor</w:t>
      </w:r>
      <w:proofErr w:type="spellEnd"/>
      <w:r w:rsidRPr="006529E2">
        <w:rPr>
          <w:rFonts w:ascii="Verdana" w:hAnsi="Verdana"/>
          <w:sz w:val="16"/>
          <w:szCs w:val="16"/>
          <w:lang w:val="en-GB"/>
        </w:rPr>
        <w:t xml:space="preserve"> force participation of older workers in Spain (No. w24637). National Bureau of Economic Research.</w:t>
      </w:r>
    </w:p>
  </w:footnote>
  <w:footnote w:id="12">
    <w:p w:rsidR="00B7253F" w:rsidRPr="006529E2" w:rsidRDefault="00B7253F">
      <w:pPr>
        <w:pStyle w:val="Textonotapie"/>
        <w:rPr>
          <w:lang w:val="en-GB"/>
        </w:rPr>
      </w:pPr>
      <w:r>
        <w:rPr>
          <w:rStyle w:val="Refdenotaalpie"/>
        </w:rPr>
        <w:footnoteRef/>
      </w:r>
      <w:r w:rsidRPr="006529E2">
        <w:rPr>
          <w:lang w:val="en-GB"/>
        </w:rPr>
        <w:t xml:space="preserve"> Williamson, J.B. </w:t>
      </w:r>
      <w:r w:rsidR="00700742" w:rsidRPr="006529E2">
        <w:rPr>
          <w:lang w:val="en-GB"/>
        </w:rPr>
        <w:t>e</w:t>
      </w:r>
      <w:r w:rsidRPr="006529E2">
        <w:rPr>
          <w:lang w:val="en-GB"/>
        </w:rPr>
        <w:t xml:space="preserve"> Higo, M. (2007). Older Workers: Lessons from Japan, </w:t>
      </w:r>
      <w:proofErr w:type="spellStart"/>
      <w:r w:rsidRPr="006529E2">
        <w:rPr>
          <w:lang w:val="en-GB"/>
        </w:rPr>
        <w:t>Center</w:t>
      </w:r>
      <w:proofErr w:type="spellEnd"/>
      <w:r w:rsidRPr="006529E2">
        <w:rPr>
          <w:lang w:val="en-GB"/>
        </w:rPr>
        <w:t xml:space="preserve"> for Retirement Research at Boston College, series 11, June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8"/>
    <w:rsid w:val="002E5095"/>
    <w:rsid w:val="003E414B"/>
    <w:rsid w:val="0042533F"/>
    <w:rsid w:val="004662FA"/>
    <w:rsid w:val="004B0535"/>
    <w:rsid w:val="005004D1"/>
    <w:rsid w:val="00622EE7"/>
    <w:rsid w:val="006478CE"/>
    <w:rsid w:val="006529E2"/>
    <w:rsid w:val="006C27A8"/>
    <w:rsid w:val="00700742"/>
    <w:rsid w:val="0075678B"/>
    <w:rsid w:val="00776AF9"/>
    <w:rsid w:val="008229CF"/>
    <w:rsid w:val="0083216A"/>
    <w:rsid w:val="008F61F8"/>
    <w:rsid w:val="00947B4F"/>
    <w:rsid w:val="00953234"/>
    <w:rsid w:val="00A1334C"/>
    <w:rsid w:val="00A77148"/>
    <w:rsid w:val="00B3439F"/>
    <w:rsid w:val="00B7253F"/>
    <w:rsid w:val="00BA2C5D"/>
    <w:rsid w:val="00D07C0A"/>
    <w:rsid w:val="00DF4740"/>
    <w:rsid w:val="00E24969"/>
    <w:rsid w:val="00E26D70"/>
    <w:rsid w:val="00E92628"/>
    <w:rsid w:val="00E978F0"/>
    <w:rsid w:val="00F02CA5"/>
    <w:rsid w:val="00F0747C"/>
    <w:rsid w:val="00F27C95"/>
    <w:rsid w:val="00F36D2F"/>
    <w:rsid w:val="00FE3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F3B4"/>
  <w15:chartTrackingRefBased/>
  <w15:docId w15:val="{EA76E02D-F968-4B0B-91D1-3F3B2461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48"/>
    <w:pPr>
      <w:spacing w:after="80" w:line="240" w:lineRule="auto"/>
      <w:jc w:val="both"/>
    </w:pPr>
    <w:rPr>
      <w:rFonts w:ascii="Times New Roman" w:eastAsia="Calibri"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6D2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D2F"/>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B7253F"/>
    <w:pPr>
      <w:spacing w:after="0"/>
    </w:pPr>
    <w:rPr>
      <w:sz w:val="20"/>
      <w:szCs w:val="20"/>
    </w:rPr>
  </w:style>
  <w:style w:type="character" w:customStyle="1" w:styleId="TextonotapieCar">
    <w:name w:val="Texto nota pie Car"/>
    <w:basedOn w:val="Fuentedeprrafopredeter"/>
    <w:link w:val="Textonotapie"/>
    <w:uiPriority w:val="99"/>
    <w:semiHidden/>
    <w:rsid w:val="00B7253F"/>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sid w:val="00B7253F"/>
    <w:rPr>
      <w:vertAlign w:val="superscript"/>
    </w:rPr>
  </w:style>
  <w:style w:type="paragraph" w:styleId="Textonotaalfinal">
    <w:name w:val="endnote text"/>
    <w:basedOn w:val="Normal"/>
    <w:link w:val="TextonotaalfinalCar"/>
    <w:uiPriority w:val="99"/>
    <w:semiHidden/>
    <w:unhideWhenUsed/>
    <w:rsid w:val="00B7253F"/>
    <w:pPr>
      <w:spacing w:after="0"/>
    </w:pPr>
    <w:rPr>
      <w:sz w:val="20"/>
      <w:szCs w:val="20"/>
    </w:rPr>
  </w:style>
  <w:style w:type="character" w:customStyle="1" w:styleId="TextonotaalfinalCar">
    <w:name w:val="Texto nota al final Car"/>
    <w:basedOn w:val="Fuentedeprrafopredeter"/>
    <w:link w:val="Textonotaalfinal"/>
    <w:uiPriority w:val="99"/>
    <w:semiHidden/>
    <w:rsid w:val="00B7253F"/>
    <w:rPr>
      <w:rFonts w:ascii="Times New Roman" w:eastAsia="Calibri" w:hAnsi="Times New Roman" w:cs="Times New Roman"/>
      <w:sz w:val="20"/>
      <w:szCs w:val="20"/>
    </w:rPr>
  </w:style>
  <w:style w:type="character" w:styleId="Refdenotaalfinal">
    <w:name w:val="endnote reference"/>
    <w:basedOn w:val="Fuentedeprrafopredeter"/>
    <w:uiPriority w:val="99"/>
    <w:semiHidden/>
    <w:unhideWhenUsed/>
    <w:rsid w:val="00B7253F"/>
    <w:rPr>
      <w:vertAlign w:val="superscript"/>
    </w:rPr>
  </w:style>
  <w:style w:type="character" w:styleId="Hipervnculo">
    <w:name w:val="Hyperlink"/>
    <w:basedOn w:val="Fuentedeprrafopredeter"/>
    <w:uiPriority w:val="99"/>
    <w:unhideWhenUsed/>
    <w:rsid w:val="003E41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aguillen@uniovi.es" TargetMode="External"/><Relationship Id="rId1" Type="http://schemas.openxmlformats.org/officeDocument/2006/relationships/hyperlink" Target="mailto:luquedavid@uniov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5BBF-8769-404D-9E28-3E60B6A5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1214</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LUQUE BALBONA</dc:creator>
  <cp:keywords/>
  <dc:description/>
  <cp:lastModifiedBy>DAVID LUQUE BALBONA</cp:lastModifiedBy>
  <cp:revision>6</cp:revision>
  <cp:lastPrinted>2021-06-25T11:42:00Z</cp:lastPrinted>
  <dcterms:created xsi:type="dcterms:W3CDTF">2021-06-29T09:30:00Z</dcterms:created>
  <dcterms:modified xsi:type="dcterms:W3CDTF">2021-06-29T09:36:00Z</dcterms:modified>
</cp:coreProperties>
</file>