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120" w:rsidRPr="002B2630" w:rsidRDefault="00880B86" w:rsidP="00871120">
      <w:pPr>
        <w:spacing w:before="120" w:after="240" w:line="480" w:lineRule="auto"/>
        <w:jc w:val="center"/>
        <w:rPr>
          <w:rFonts w:asciiTheme="minorHAnsi" w:hAnsiTheme="minorHAnsi" w:cstheme="minorHAnsi"/>
          <w:b/>
          <w:lang w:val="en-GB"/>
        </w:rPr>
      </w:pPr>
      <w:r w:rsidRPr="002B2630">
        <w:rPr>
          <w:rFonts w:asciiTheme="minorHAnsi" w:hAnsiTheme="minorHAnsi" w:cstheme="minorHAnsi"/>
          <w:b/>
          <w:lang w:val="en-GB"/>
        </w:rPr>
        <w:t xml:space="preserve">FIRM AND COUNTRY DETERMINANTS OF DEBT MATURITY. </w:t>
      </w:r>
      <w:r w:rsidR="004D1B37">
        <w:rPr>
          <w:rFonts w:asciiTheme="minorHAnsi" w:hAnsiTheme="minorHAnsi" w:cstheme="minorHAnsi"/>
          <w:b/>
          <w:lang w:val="en-GB"/>
        </w:rPr>
        <w:t xml:space="preserve">NEW </w:t>
      </w:r>
      <w:r w:rsidRPr="002B2630">
        <w:rPr>
          <w:rFonts w:asciiTheme="minorHAnsi" w:hAnsiTheme="minorHAnsi" w:cstheme="minorHAnsi"/>
          <w:b/>
          <w:lang w:val="en-GB"/>
        </w:rPr>
        <w:t>INTERNATIONAL EVIDENCE</w:t>
      </w:r>
    </w:p>
    <w:p w:rsidR="00880B86" w:rsidRPr="00F9296B" w:rsidRDefault="00F9296B" w:rsidP="00F9296B">
      <w:pPr>
        <w:spacing w:before="120" w:after="240" w:line="480" w:lineRule="auto"/>
        <w:ind w:left="284"/>
        <w:jc w:val="both"/>
        <w:rPr>
          <w:rFonts w:asciiTheme="minorHAnsi" w:hAnsiTheme="minorHAnsi" w:cstheme="minorHAnsi"/>
          <w:sz w:val="22"/>
          <w:szCs w:val="22"/>
          <w:lang w:val="en-GB"/>
        </w:rPr>
      </w:pPr>
      <w:r w:rsidRPr="00F9296B">
        <w:rPr>
          <w:rFonts w:asciiTheme="minorHAnsi" w:hAnsiTheme="minorHAnsi" w:cstheme="minorHAnsi"/>
          <w:sz w:val="22"/>
          <w:szCs w:val="22"/>
          <w:lang w:val="en-GB"/>
        </w:rPr>
        <w:t xml:space="preserve">This paper </w:t>
      </w:r>
      <w:r>
        <w:rPr>
          <w:rFonts w:asciiTheme="minorHAnsi" w:hAnsiTheme="minorHAnsi" w:cstheme="minorHAnsi"/>
          <w:sz w:val="22"/>
          <w:szCs w:val="22"/>
          <w:lang w:val="en-GB"/>
        </w:rPr>
        <w:t xml:space="preserve">shows the </w:t>
      </w:r>
      <w:r w:rsidR="0040214A">
        <w:rPr>
          <w:rFonts w:asciiTheme="minorHAnsi" w:hAnsiTheme="minorHAnsi" w:cstheme="minorHAnsi"/>
          <w:sz w:val="22"/>
          <w:szCs w:val="22"/>
          <w:lang w:val="en-GB"/>
        </w:rPr>
        <w:t xml:space="preserve">influence </w:t>
      </w:r>
      <w:r>
        <w:rPr>
          <w:rFonts w:asciiTheme="minorHAnsi" w:hAnsiTheme="minorHAnsi" w:cstheme="minorHAnsi"/>
          <w:sz w:val="22"/>
          <w:szCs w:val="22"/>
          <w:lang w:val="en-GB"/>
        </w:rPr>
        <w:t xml:space="preserve">of </w:t>
      </w:r>
      <w:r w:rsidRPr="00F9296B">
        <w:rPr>
          <w:rFonts w:asciiTheme="minorHAnsi" w:hAnsiTheme="minorHAnsi" w:cstheme="minorHAnsi"/>
          <w:sz w:val="22"/>
          <w:szCs w:val="22"/>
          <w:lang w:val="en-GB"/>
        </w:rPr>
        <w:t>firm- and country-level determinants on debt maturity</w:t>
      </w:r>
      <w:r>
        <w:rPr>
          <w:rFonts w:asciiTheme="minorHAnsi" w:hAnsiTheme="minorHAnsi" w:cstheme="minorHAnsi"/>
          <w:sz w:val="22"/>
          <w:szCs w:val="22"/>
          <w:lang w:val="en-GB"/>
        </w:rPr>
        <w:t xml:space="preserve"> </w:t>
      </w:r>
      <w:r w:rsidRPr="00F9296B">
        <w:rPr>
          <w:rFonts w:asciiTheme="minorHAnsi" w:hAnsiTheme="minorHAnsi" w:cstheme="minorHAnsi"/>
          <w:sz w:val="22"/>
          <w:szCs w:val="22"/>
          <w:lang w:val="en-GB"/>
        </w:rPr>
        <w:t>structure for 39 countries</w:t>
      </w:r>
      <w:r>
        <w:rPr>
          <w:rFonts w:asciiTheme="minorHAnsi" w:hAnsiTheme="minorHAnsi" w:cstheme="minorHAnsi"/>
          <w:sz w:val="22"/>
          <w:szCs w:val="22"/>
          <w:lang w:val="en-GB"/>
        </w:rPr>
        <w:t xml:space="preserve"> during the period 1995-2012. E</w:t>
      </w:r>
      <w:r w:rsidRPr="00F9296B">
        <w:rPr>
          <w:rFonts w:asciiTheme="minorHAnsi" w:hAnsiTheme="minorHAnsi" w:cstheme="minorHAnsi"/>
          <w:sz w:val="22"/>
          <w:szCs w:val="22"/>
          <w:lang w:val="en-GB"/>
        </w:rPr>
        <w:t>fficiency of the legal system, protection of creditors' rights and bank concentration show a</w:t>
      </w:r>
      <w:r>
        <w:rPr>
          <w:rFonts w:asciiTheme="minorHAnsi" w:hAnsiTheme="minorHAnsi" w:cstheme="minorHAnsi"/>
          <w:sz w:val="22"/>
          <w:szCs w:val="22"/>
          <w:lang w:val="en-GB"/>
        </w:rPr>
        <w:t xml:space="preserve"> </w:t>
      </w:r>
      <w:r w:rsidRPr="00F9296B">
        <w:rPr>
          <w:rFonts w:asciiTheme="minorHAnsi" w:hAnsiTheme="minorHAnsi" w:cstheme="minorHAnsi"/>
          <w:sz w:val="22"/>
          <w:szCs w:val="22"/>
          <w:lang w:val="en-GB"/>
        </w:rPr>
        <w:t xml:space="preserve">positive relationship </w:t>
      </w:r>
      <w:r w:rsidR="0040214A">
        <w:rPr>
          <w:rFonts w:asciiTheme="minorHAnsi" w:hAnsiTheme="minorHAnsi" w:cstheme="minorHAnsi"/>
          <w:sz w:val="22"/>
          <w:szCs w:val="22"/>
          <w:lang w:val="en-GB"/>
        </w:rPr>
        <w:t>with</w:t>
      </w:r>
      <w:r w:rsidR="0040214A" w:rsidRPr="00F9296B">
        <w:rPr>
          <w:rFonts w:asciiTheme="minorHAnsi" w:hAnsiTheme="minorHAnsi" w:cstheme="minorHAnsi"/>
          <w:sz w:val="22"/>
          <w:szCs w:val="22"/>
          <w:lang w:val="en-GB"/>
        </w:rPr>
        <w:t xml:space="preserve"> </w:t>
      </w:r>
      <w:r w:rsidRPr="00F9296B">
        <w:rPr>
          <w:rFonts w:asciiTheme="minorHAnsi" w:hAnsiTheme="minorHAnsi" w:cstheme="minorHAnsi"/>
          <w:sz w:val="22"/>
          <w:szCs w:val="22"/>
          <w:lang w:val="en-GB"/>
        </w:rPr>
        <w:t xml:space="preserve">debt maturity, </w:t>
      </w:r>
      <w:r w:rsidR="0040214A">
        <w:rPr>
          <w:rFonts w:asciiTheme="minorHAnsi" w:hAnsiTheme="minorHAnsi" w:cstheme="minorHAnsi"/>
          <w:sz w:val="22"/>
          <w:szCs w:val="22"/>
          <w:lang w:val="en-GB"/>
        </w:rPr>
        <w:t xml:space="preserve">while </w:t>
      </w:r>
      <w:r w:rsidRPr="00F9296B">
        <w:rPr>
          <w:rFonts w:asciiTheme="minorHAnsi" w:hAnsiTheme="minorHAnsi" w:cstheme="minorHAnsi"/>
          <w:sz w:val="22"/>
          <w:szCs w:val="22"/>
          <w:lang w:val="en-GB"/>
        </w:rPr>
        <w:t>the weight of banks in the</w:t>
      </w:r>
      <w:r>
        <w:rPr>
          <w:rFonts w:asciiTheme="minorHAnsi" w:hAnsiTheme="minorHAnsi" w:cstheme="minorHAnsi"/>
          <w:sz w:val="22"/>
          <w:szCs w:val="22"/>
          <w:lang w:val="en-GB"/>
        </w:rPr>
        <w:t xml:space="preserve"> </w:t>
      </w:r>
      <w:r w:rsidRPr="00F9296B">
        <w:rPr>
          <w:rFonts w:asciiTheme="minorHAnsi" w:hAnsiTheme="minorHAnsi" w:cstheme="minorHAnsi"/>
          <w:sz w:val="22"/>
          <w:szCs w:val="22"/>
          <w:lang w:val="en-GB"/>
        </w:rPr>
        <w:t>economy ha</w:t>
      </w:r>
      <w:r w:rsidR="00CE4B7B">
        <w:rPr>
          <w:rFonts w:asciiTheme="minorHAnsi" w:hAnsiTheme="minorHAnsi" w:cstheme="minorHAnsi"/>
          <w:sz w:val="22"/>
          <w:szCs w:val="22"/>
          <w:lang w:val="en-GB"/>
        </w:rPr>
        <w:t>s</w:t>
      </w:r>
      <w:r w:rsidRPr="00F9296B">
        <w:rPr>
          <w:rFonts w:asciiTheme="minorHAnsi" w:hAnsiTheme="minorHAnsi" w:cstheme="minorHAnsi"/>
          <w:sz w:val="22"/>
          <w:szCs w:val="22"/>
          <w:lang w:val="en-GB"/>
        </w:rPr>
        <w:t xml:space="preserve"> a negative effect on firm debt maturity. </w:t>
      </w:r>
      <w:r w:rsidR="00586A07" w:rsidRPr="00650229">
        <w:rPr>
          <w:rFonts w:asciiTheme="minorHAnsi" w:hAnsiTheme="minorHAnsi" w:cstheme="minorHAnsi"/>
          <w:sz w:val="22"/>
          <w:szCs w:val="22"/>
          <w:lang w:val="en-GB"/>
        </w:rPr>
        <w:t>The positive influence of b</w:t>
      </w:r>
      <w:r w:rsidR="00314174" w:rsidRPr="00650229">
        <w:rPr>
          <w:rFonts w:asciiTheme="minorHAnsi" w:hAnsiTheme="minorHAnsi" w:cstheme="minorHAnsi"/>
          <w:sz w:val="22"/>
          <w:szCs w:val="22"/>
          <w:lang w:val="en-GB"/>
        </w:rPr>
        <w:t xml:space="preserve">ank concentration </w:t>
      </w:r>
      <w:r w:rsidR="00586A07" w:rsidRPr="00650229">
        <w:rPr>
          <w:rFonts w:asciiTheme="minorHAnsi" w:hAnsiTheme="minorHAnsi" w:cstheme="minorHAnsi"/>
          <w:sz w:val="22"/>
          <w:szCs w:val="22"/>
          <w:lang w:val="en-GB"/>
        </w:rPr>
        <w:t>on</w:t>
      </w:r>
      <w:r w:rsidR="00314174" w:rsidRPr="00650229">
        <w:rPr>
          <w:rFonts w:asciiTheme="minorHAnsi" w:hAnsiTheme="minorHAnsi" w:cstheme="minorHAnsi"/>
          <w:sz w:val="22"/>
          <w:szCs w:val="22"/>
          <w:lang w:val="en-GB"/>
        </w:rPr>
        <w:t xml:space="preserve"> corporate debt maturity reveal</w:t>
      </w:r>
      <w:r w:rsidR="00586A07" w:rsidRPr="00650229">
        <w:rPr>
          <w:rFonts w:asciiTheme="minorHAnsi" w:hAnsiTheme="minorHAnsi" w:cstheme="minorHAnsi"/>
          <w:sz w:val="22"/>
          <w:szCs w:val="22"/>
          <w:lang w:val="en-GB"/>
        </w:rPr>
        <w:t>s</w:t>
      </w:r>
      <w:r w:rsidR="00314174" w:rsidRPr="00650229">
        <w:rPr>
          <w:rFonts w:asciiTheme="minorHAnsi" w:hAnsiTheme="minorHAnsi" w:cstheme="minorHAnsi"/>
          <w:sz w:val="22"/>
          <w:szCs w:val="22"/>
          <w:lang w:val="en-GB"/>
        </w:rPr>
        <w:t xml:space="preserve"> that creditors are more likely to extend debt maturity when the bank credit market is concentrated. This positive effect of bank concentration is reduced in high quality institutional environments. </w:t>
      </w:r>
      <w:r w:rsidR="007B6F55" w:rsidRPr="00650229">
        <w:rPr>
          <w:rFonts w:asciiTheme="minorHAnsi" w:hAnsiTheme="minorHAnsi" w:cstheme="minorHAnsi"/>
          <w:sz w:val="22"/>
          <w:szCs w:val="22"/>
          <w:lang w:val="en-GB"/>
        </w:rPr>
        <w:t>Moreover</w:t>
      </w:r>
      <w:r w:rsidR="00314174" w:rsidRPr="00650229">
        <w:rPr>
          <w:rFonts w:asciiTheme="minorHAnsi" w:hAnsiTheme="minorHAnsi" w:cstheme="minorHAnsi"/>
          <w:sz w:val="22"/>
          <w:szCs w:val="22"/>
          <w:lang w:val="en-GB"/>
        </w:rPr>
        <w:t>, the effect</w:t>
      </w:r>
      <w:r w:rsidR="00586A07" w:rsidRPr="00650229">
        <w:rPr>
          <w:rFonts w:asciiTheme="minorHAnsi" w:hAnsiTheme="minorHAnsi" w:cstheme="minorHAnsi"/>
          <w:sz w:val="22"/>
          <w:szCs w:val="22"/>
          <w:lang w:val="en-GB"/>
        </w:rPr>
        <w:t>s</w:t>
      </w:r>
      <w:r w:rsidR="00314174" w:rsidRPr="00650229">
        <w:rPr>
          <w:rFonts w:asciiTheme="minorHAnsi" w:hAnsiTheme="minorHAnsi" w:cstheme="minorHAnsi"/>
          <w:sz w:val="22"/>
          <w:szCs w:val="22"/>
          <w:lang w:val="en-GB"/>
        </w:rPr>
        <w:t xml:space="preserve"> of bank concentration </w:t>
      </w:r>
      <w:r w:rsidR="00586A07" w:rsidRPr="00650229">
        <w:rPr>
          <w:rFonts w:asciiTheme="minorHAnsi" w:hAnsiTheme="minorHAnsi" w:cstheme="minorHAnsi"/>
          <w:sz w:val="22"/>
          <w:szCs w:val="22"/>
          <w:lang w:val="en-GB"/>
        </w:rPr>
        <w:t xml:space="preserve">and the weight of banks in the economy </w:t>
      </w:r>
      <w:r w:rsidR="00314174" w:rsidRPr="00650229">
        <w:rPr>
          <w:rFonts w:asciiTheme="minorHAnsi" w:hAnsiTheme="minorHAnsi" w:cstheme="minorHAnsi"/>
          <w:sz w:val="22"/>
          <w:szCs w:val="22"/>
          <w:lang w:val="en-GB"/>
        </w:rPr>
        <w:t>on corporate debt maturity are higher in smaller firms.</w:t>
      </w:r>
    </w:p>
    <w:p w:rsidR="00E33EAB" w:rsidRDefault="00E33EAB">
      <w:pPr>
        <w:spacing w:after="200" w:line="276" w:lineRule="auto"/>
        <w:rPr>
          <w:rFonts w:asciiTheme="minorHAnsi" w:hAnsiTheme="minorHAnsi" w:cstheme="minorHAnsi"/>
          <w:sz w:val="22"/>
          <w:szCs w:val="22"/>
          <w:lang w:val="en-GB"/>
        </w:rPr>
      </w:pPr>
      <w:r>
        <w:rPr>
          <w:rFonts w:asciiTheme="minorHAnsi" w:hAnsiTheme="minorHAnsi" w:cstheme="minorHAnsi"/>
          <w:sz w:val="22"/>
          <w:szCs w:val="22"/>
          <w:lang w:val="en-GB"/>
        </w:rPr>
        <w:br w:type="page"/>
      </w:r>
    </w:p>
    <w:p w:rsidR="00871120" w:rsidRPr="002B2630" w:rsidRDefault="00DE5AC4" w:rsidP="00DE5AC4">
      <w:pPr>
        <w:pStyle w:val="Prrafodelista"/>
        <w:numPr>
          <w:ilvl w:val="0"/>
          <w:numId w:val="4"/>
        </w:numPr>
        <w:spacing w:before="120" w:after="240" w:line="480" w:lineRule="auto"/>
        <w:jc w:val="both"/>
        <w:rPr>
          <w:rFonts w:asciiTheme="minorHAnsi" w:hAnsiTheme="minorHAnsi" w:cstheme="minorHAnsi"/>
          <w:b/>
          <w:sz w:val="22"/>
          <w:szCs w:val="22"/>
          <w:lang w:val="en-GB"/>
        </w:rPr>
      </w:pPr>
      <w:r w:rsidRPr="002B2630">
        <w:rPr>
          <w:rFonts w:asciiTheme="minorHAnsi" w:hAnsiTheme="minorHAnsi" w:cstheme="minorHAnsi"/>
          <w:b/>
          <w:sz w:val="22"/>
          <w:szCs w:val="22"/>
          <w:lang w:val="en-GB"/>
        </w:rPr>
        <w:lastRenderedPageBreak/>
        <w:t>INTRODUCTION</w:t>
      </w:r>
    </w:p>
    <w:p w:rsidR="00871120" w:rsidRPr="002B2630"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Studies on firm capital structure have recently focused on the influences of institutional and legal features on the amount of debt financing. The literature on capital structure has analy</w:t>
      </w:r>
      <w:r>
        <w:rPr>
          <w:rFonts w:asciiTheme="minorHAnsi" w:hAnsiTheme="minorHAnsi" w:cstheme="minorHAnsi"/>
          <w:sz w:val="22"/>
          <w:szCs w:val="22"/>
          <w:lang w:val="en-GB"/>
        </w:rPr>
        <w:t>s</w:t>
      </w:r>
      <w:r w:rsidRPr="002B2630">
        <w:rPr>
          <w:rFonts w:asciiTheme="minorHAnsi" w:hAnsiTheme="minorHAnsi" w:cstheme="minorHAnsi"/>
          <w:sz w:val="22"/>
          <w:szCs w:val="22"/>
          <w:lang w:val="en-GB"/>
        </w:rPr>
        <w:t xml:space="preserve">ed the influence of investor protection and institutions and has revealed that institutional factors play an important role in the choice of capital structure. Empirical studies show, for instance, that better protection of creditors increases the availability of debt by reducing adverse selection and </w:t>
      </w:r>
      <w:r w:rsidR="0040214A">
        <w:rPr>
          <w:rFonts w:asciiTheme="minorHAnsi" w:hAnsiTheme="minorHAnsi" w:cstheme="minorHAnsi"/>
          <w:sz w:val="22"/>
          <w:szCs w:val="22"/>
          <w:lang w:val="en-GB"/>
        </w:rPr>
        <w:t xml:space="preserve">the </w:t>
      </w:r>
      <w:r w:rsidRPr="002B2630">
        <w:rPr>
          <w:rFonts w:asciiTheme="minorHAnsi" w:hAnsiTheme="minorHAnsi" w:cstheme="minorHAnsi"/>
          <w:sz w:val="22"/>
          <w:szCs w:val="22"/>
          <w:lang w:val="en-GB"/>
        </w:rPr>
        <w:t xml:space="preserve">moral hazard problems of debt (Giannetti, 2003; </w:t>
      </w:r>
      <w:r w:rsidR="009036B8">
        <w:rPr>
          <w:rFonts w:asciiTheme="minorHAnsi" w:hAnsiTheme="minorHAnsi" w:cstheme="minorHAnsi"/>
          <w:sz w:val="22"/>
          <w:szCs w:val="22"/>
          <w:lang w:val="en-GB"/>
        </w:rPr>
        <w:t>Qian and Strahan</w:t>
      </w:r>
      <w:r w:rsidRPr="002B2630">
        <w:rPr>
          <w:rFonts w:asciiTheme="minorHAnsi" w:hAnsiTheme="minorHAnsi" w:cstheme="minorHAnsi"/>
          <w:sz w:val="22"/>
          <w:szCs w:val="22"/>
          <w:lang w:val="en-GB"/>
        </w:rPr>
        <w:t>, 200</w:t>
      </w:r>
      <w:r w:rsidR="009036B8">
        <w:rPr>
          <w:rFonts w:asciiTheme="minorHAnsi" w:hAnsiTheme="minorHAnsi" w:cstheme="minorHAnsi"/>
          <w:sz w:val="22"/>
          <w:szCs w:val="22"/>
          <w:lang w:val="en-GB"/>
        </w:rPr>
        <w:t>7</w:t>
      </w:r>
      <w:r w:rsidRPr="002B2630">
        <w:rPr>
          <w:rFonts w:asciiTheme="minorHAnsi" w:hAnsiTheme="minorHAnsi" w:cstheme="minorHAnsi"/>
          <w:sz w:val="22"/>
          <w:szCs w:val="22"/>
          <w:lang w:val="en-GB"/>
        </w:rPr>
        <w:t>), while stronger protection of property rights favo</w:t>
      </w:r>
      <w:r>
        <w:rPr>
          <w:rFonts w:asciiTheme="minorHAnsi" w:hAnsiTheme="minorHAnsi" w:cstheme="minorHAnsi"/>
          <w:sz w:val="22"/>
          <w:szCs w:val="22"/>
          <w:lang w:val="en-GB"/>
        </w:rPr>
        <w:t>u</w:t>
      </w:r>
      <w:r w:rsidRPr="002B2630">
        <w:rPr>
          <w:rFonts w:asciiTheme="minorHAnsi" w:hAnsiTheme="minorHAnsi" w:cstheme="minorHAnsi"/>
          <w:sz w:val="22"/>
          <w:szCs w:val="22"/>
          <w:lang w:val="en-GB"/>
        </w:rPr>
        <w:t xml:space="preserve">rs increased use of equity over debt (González and González, 2008). </w:t>
      </w:r>
    </w:p>
    <w:p w:rsidR="003763DC" w:rsidRDefault="003763DC" w:rsidP="003763DC">
      <w:pPr>
        <w:spacing w:before="120" w:after="240" w:line="480" w:lineRule="auto"/>
        <w:jc w:val="both"/>
        <w:rPr>
          <w:rFonts w:asciiTheme="minorHAnsi" w:hAnsiTheme="minorHAnsi" w:cstheme="minorHAnsi"/>
          <w:sz w:val="22"/>
          <w:szCs w:val="22"/>
          <w:lang w:val="en-GB"/>
        </w:rPr>
      </w:pPr>
      <w:r w:rsidRPr="003763DC">
        <w:rPr>
          <w:rFonts w:asciiTheme="minorHAnsi" w:hAnsiTheme="minorHAnsi" w:cstheme="minorHAnsi"/>
          <w:sz w:val="22"/>
          <w:szCs w:val="22"/>
          <w:lang w:val="en-GB"/>
        </w:rPr>
        <w:t xml:space="preserve">Previous studies </w:t>
      </w:r>
      <w:r w:rsidR="00EA4BB2">
        <w:rPr>
          <w:rFonts w:asciiTheme="minorHAnsi" w:hAnsiTheme="minorHAnsi" w:cstheme="minorHAnsi"/>
          <w:sz w:val="22"/>
          <w:szCs w:val="22"/>
          <w:lang w:val="en-GB"/>
        </w:rPr>
        <w:t>show</w:t>
      </w:r>
      <w:r w:rsidRPr="003763DC">
        <w:rPr>
          <w:rFonts w:asciiTheme="minorHAnsi" w:hAnsiTheme="minorHAnsi" w:cstheme="minorHAnsi"/>
          <w:sz w:val="22"/>
          <w:szCs w:val="22"/>
          <w:lang w:val="en-GB"/>
        </w:rPr>
        <w:t xml:space="preserve"> the existence of differences in debt maturity among countries. Barclay and Smith (1995) report a percentage of total long-term debt of around 70% for their sample of US listed firms, while Antoniou </w:t>
      </w:r>
      <w:r w:rsidRPr="00DB6BC4">
        <w:rPr>
          <w:rFonts w:asciiTheme="minorHAnsi" w:hAnsiTheme="minorHAnsi" w:cstheme="minorHAnsi"/>
          <w:i/>
          <w:sz w:val="22"/>
          <w:szCs w:val="22"/>
          <w:lang w:val="en-GB"/>
        </w:rPr>
        <w:t>et al</w:t>
      </w:r>
      <w:r w:rsidRPr="003763DC">
        <w:rPr>
          <w:rFonts w:asciiTheme="minorHAnsi" w:hAnsiTheme="minorHAnsi" w:cstheme="minorHAnsi"/>
          <w:sz w:val="22"/>
          <w:szCs w:val="22"/>
          <w:lang w:val="en-GB"/>
        </w:rPr>
        <w:t xml:space="preserve">. (2006) show that </w:t>
      </w:r>
      <w:r w:rsidR="003B7BC1">
        <w:rPr>
          <w:rFonts w:asciiTheme="minorHAnsi" w:hAnsiTheme="minorHAnsi" w:cstheme="minorHAnsi"/>
          <w:sz w:val="22"/>
          <w:szCs w:val="22"/>
          <w:lang w:val="en-GB"/>
        </w:rPr>
        <w:t>t</w:t>
      </w:r>
      <w:r w:rsidRPr="003763DC">
        <w:rPr>
          <w:rFonts w:asciiTheme="minorHAnsi" w:hAnsiTheme="minorHAnsi" w:cstheme="minorHAnsi"/>
          <w:sz w:val="22"/>
          <w:szCs w:val="22"/>
          <w:lang w:val="en-GB"/>
        </w:rPr>
        <w:t xml:space="preserve">he long-term debt ratio of French, German and UK listed firms is around 59%, 53% and 46%, respectively. Demirgüç-Kunt and Maksimovic (1999) and Fan </w:t>
      </w:r>
      <w:r w:rsidRPr="00DB6BC4">
        <w:rPr>
          <w:rFonts w:asciiTheme="minorHAnsi" w:hAnsiTheme="minorHAnsi" w:cstheme="minorHAnsi"/>
          <w:i/>
          <w:sz w:val="22"/>
          <w:szCs w:val="22"/>
          <w:lang w:val="en-GB"/>
        </w:rPr>
        <w:t>et al</w:t>
      </w:r>
      <w:r w:rsidRPr="003763DC">
        <w:rPr>
          <w:rFonts w:asciiTheme="minorHAnsi" w:hAnsiTheme="minorHAnsi" w:cstheme="minorHAnsi"/>
          <w:sz w:val="22"/>
          <w:szCs w:val="22"/>
          <w:lang w:val="en-GB"/>
        </w:rPr>
        <w:t>. (2012) reveal that firms in developing countries use less long-term debt as a proportion of total debt and that this difference cannot be explained by the maturity of assets. Figure 1 represents the average ratio of long-term debt to total debt among the countries included in our sample. Debt maturity can be seen to vary widely among countries</w:t>
      </w:r>
      <w:r w:rsidR="00EA4BB2">
        <w:rPr>
          <w:rFonts w:asciiTheme="minorHAnsi" w:hAnsiTheme="minorHAnsi" w:cstheme="minorHAnsi"/>
          <w:sz w:val="22"/>
          <w:szCs w:val="22"/>
          <w:lang w:val="en-GB"/>
        </w:rPr>
        <w:t>, as the</w:t>
      </w:r>
      <w:r w:rsidRPr="003763DC">
        <w:rPr>
          <w:rFonts w:asciiTheme="minorHAnsi" w:hAnsiTheme="minorHAnsi" w:cstheme="minorHAnsi"/>
          <w:sz w:val="22"/>
          <w:szCs w:val="22"/>
          <w:lang w:val="en-GB"/>
        </w:rPr>
        <w:t xml:space="preserve"> average percentage of long-term debt for firms in the USA or Norway is more than </w:t>
      </w:r>
      <w:r w:rsidR="001532BB">
        <w:rPr>
          <w:rFonts w:asciiTheme="minorHAnsi" w:hAnsiTheme="minorHAnsi" w:cstheme="minorHAnsi"/>
          <w:sz w:val="22"/>
          <w:szCs w:val="22"/>
          <w:lang w:val="en-GB"/>
        </w:rPr>
        <w:t>twice</w:t>
      </w:r>
      <w:r w:rsidRPr="003763DC">
        <w:rPr>
          <w:rFonts w:asciiTheme="minorHAnsi" w:hAnsiTheme="minorHAnsi" w:cstheme="minorHAnsi"/>
          <w:sz w:val="22"/>
          <w:szCs w:val="22"/>
          <w:lang w:val="en-GB"/>
        </w:rPr>
        <w:t xml:space="preserve"> the percentage for firms in Thailand, South Korea, Taiwan or Turkey. These differences in financing patterns across countries may be addressed by differences in the legal and institutional environment across countries.</w:t>
      </w:r>
    </w:p>
    <w:p w:rsidR="00871120" w:rsidRPr="002B2630" w:rsidRDefault="00871120" w:rsidP="00871120">
      <w:pPr>
        <w:spacing w:before="120" w:after="240" w:line="480" w:lineRule="auto"/>
        <w:jc w:val="center"/>
        <w:rPr>
          <w:rFonts w:asciiTheme="minorHAnsi" w:hAnsiTheme="minorHAnsi" w:cstheme="minorHAnsi"/>
          <w:sz w:val="22"/>
          <w:szCs w:val="22"/>
          <w:lang w:val="en-GB"/>
        </w:rPr>
      </w:pPr>
      <w:r w:rsidRPr="002B2630">
        <w:rPr>
          <w:rFonts w:asciiTheme="minorHAnsi" w:hAnsiTheme="minorHAnsi" w:cstheme="minorHAnsi"/>
          <w:sz w:val="22"/>
          <w:szCs w:val="22"/>
          <w:lang w:val="en-GB"/>
        </w:rPr>
        <w:t>FIGURE 1 ABOUT HERE</w:t>
      </w:r>
    </w:p>
    <w:p w:rsidR="00871120" w:rsidRPr="002B2630"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 xml:space="preserve">Despite these differences in debt maturity among countries, the financial literature has focused less on the institutional determinants of debt maturity and the differences </w:t>
      </w:r>
      <w:r w:rsidR="0040214A">
        <w:rPr>
          <w:rFonts w:asciiTheme="minorHAnsi" w:hAnsiTheme="minorHAnsi" w:cstheme="minorHAnsi"/>
          <w:sz w:val="22"/>
          <w:szCs w:val="22"/>
          <w:lang w:val="en-GB"/>
        </w:rPr>
        <w:t>in</w:t>
      </w:r>
      <w:r w:rsidR="0040214A" w:rsidRPr="002B2630">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firm-</w:t>
      </w:r>
      <w:r w:rsidRPr="002B2630">
        <w:rPr>
          <w:rFonts w:asciiTheme="minorHAnsi" w:hAnsiTheme="minorHAnsi" w:cstheme="minorHAnsi"/>
          <w:sz w:val="22"/>
          <w:szCs w:val="22"/>
          <w:lang w:val="en-GB"/>
        </w:rPr>
        <w:lastRenderedPageBreak/>
        <w:t xml:space="preserve">specific determinants among countries. Demirgüç-Kunt and Maksimovic (1999) </w:t>
      </w:r>
      <w:r w:rsidR="009036B8">
        <w:rPr>
          <w:rFonts w:asciiTheme="minorHAnsi" w:hAnsiTheme="minorHAnsi" w:cstheme="minorHAnsi"/>
          <w:sz w:val="22"/>
          <w:szCs w:val="22"/>
          <w:lang w:val="en-GB"/>
        </w:rPr>
        <w:t xml:space="preserve">and </w:t>
      </w:r>
      <w:r w:rsidRPr="002B2630">
        <w:rPr>
          <w:rFonts w:asciiTheme="minorHAnsi" w:hAnsiTheme="minorHAnsi" w:cstheme="minorHAnsi"/>
          <w:sz w:val="22"/>
          <w:szCs w:val="22"/>
          <w:lang w:val="en-GB"/>
        </w:rPr>
        <w:t xml:space="preserve">Fan </w:t>
      </w:r>
      <w:r w:rsidR="005E2B08" w:rsidRPr="005E2B08">
        <w:rPr>
          <w:rFonts w:asciiTheme="minorHAnsi" w:hAnsiTheme="minorHAnsi" w:cstheme="minorHAnsi"/>
          <w:i/>
          <w:sz w:val="22"/>
          <w:szCs w:val="22"/>
          <w:lang w:val="en-GB"/>
        </w:rPr>
        <w:t>et al.</w:t>
      </w:r>
      <w:r w:rsidRPr="002B2630">
        <w:rPr>
          <w:rFonts w:asciiTheme="minorHAnsi" w:hAnsiTheme="minorHAnsi" w:cstheme="minorHAnsi"/>
          <w:sz w:val="22"/>
          <w:szCs w:val="22"/>
          <w:lang w:val="en-GB"/>
        </w:rPr>
        <w:t xml:space="preserve"> (2012) examine how the institutional environment influences the capital structure and debt maturity choices of firms. They find that corruption, the</w:t>
      </w:r>
      <w:r w:rsidR="009036B8">
        <w:rPr>
          <w:rFonts w:asciiTheme="minorHAnsi" w:hAnsiTheme="minorHAnsi" w:cstheme="minorHAnsi"/>
          <w:sz w:val="22"/>
          <w:szCs w:val="22"/>
          <w:lang w:val="en-GB"/>
        </w:rPr>
        <w:t xml:space="preserve"> efficiency of the </w:t>
      </w:r>
      <w:r w:rsidRPr="002B2630">
        <w:rPr>
          <w:rFonts w:asciiTheme="minorHAnsi" w:hAnsiTheme="minorHAnsi" w:cstheme="minorHAnsi"/>
          <w:sz w:val="22"/>
          <w:szCs w:val="22"/>
          <w:lang w:val="en-GB"/>
        </w:rPr>
        <w:t>legal system</w:t>
      </w:r>
      <w:r w:rsidR="009036B8">
        <w:rPr>
          <w:rFonts w:asciiTheme="minorHAnsi" w:hAnsiTheme="minorHAnsi" w:cstheme="minorHAnsi"/>
          <w:sz w:val="22"/>
          <w:szCs w:val="22"/>
          <w:lang w:val="en-GB"/>
        </w:rPr>
        <w:t>, the level of the activity of the stock market</w:t>
      </w:r>
      <w:r w:rsidRPr="002B2630">
        <w:rPr>
          <w:rFonts w:asciiTheme="minorHAnsi" w:hAnsiTheme="minorHAnsi" w:cstheme="minorHAnsi"/>
          <w:sz w:val="22"/>
          <w:szCs w:val="22"/>
          <w:lang w:val="en-GB"/>
        </w:rPr>
        <w:t xml:space="preserve"> and the size of the banking sector explain a significant portion of the variation in debt maturity ratios.</w:t>
      </w:r>
    </w:p>
    <w:p w:rsidR="006E7EFE"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 xml:space="preserve">Within this context, the present paper examines how institutional and banking environments affect the choice of debt maturity made by firms in a sample of 39 countries in the period 1995-2012. Our paper makes several </w:t>
      </w:r>
      <w:r w:rsidR="0040214A">
        <w:rPr>
          <w:rFonts w:asciiTheme="minorHAnsi" w:hAnsiTheme="minorHAnsi" w:cstheme="minorHAnsi"/>
          <w:sz w:val="22"/>
          <w:szCs w:val="22"/>
          <w:lang w:val="en-GB"/>
        </w:rPr>
        <w:t>important</w:t>
      </w:r>
      <w:r w:rsidR="0040214A" w:rsidRPr="002B2630">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contributions to the literature. First, we analy</w:t>
      </w:r>
      <w:r>
        <w:rPr>
          <w:rFonts w:asciiTheme="minorHAnsi" w:hAnsiTheme="minorHAnsi" w:cstheme="minorHAnsi"/>
          <w:sz w:val="22"/>
          <w:szCs w:val="22"/>
          <w:lang w:val="en-GB"/>
        </w:rPr>
        <w:t>s</w:t>
      </w:r>
      <w:r w:rsidRPr="002B2630">
        <w:rPr>
          <w:rFonts w:asciiTheme="minorHAnsi" w:hAnsiTheme="minorHAnsi" w:cstheme="minorHAnsi"/>
          <w:sz w:val="22"/>
          <w:szCs w:val="22"/>
          <w:lang w:val="en-GB"/>
        </w:rPr>
        <w:t>e the firm-level determinants of debt maturity and the way in which observed differences in institutional and legal environments and banking structures across countries affect the debt maturity choice of firms within an international context. The influence of legal and institutional environments has also been analy</w:t>
      </w:r>
      <w:r>
        <w:rPr>
          <w:rFonts w:asciiTheme="minorHAnsi" w:hAnsiTheme="minorHAnsi" w:cstheme="minorHAnsi"/>
          <w:sz w:val="22"/>
          <w:szCs w:val="22"/>
          <w:lang w:val="en-GB"/>
        </w:rPr>
        <w:t>s</w:t>
      </w:r>
      <w:r w:rsidRPr="002B2630">
        <w:rPr>
          <w:rFonts w:asciiTheme="minorHAnsi" w:hAnsiTheme="minorHAnsi" w:cstheme="minorHAnsi"/>
          <w:sz w:val="22"/>
          <w:szCs w:val="22"/>
          <w:lang w:val="en-GB"/>
        </w:rPr>
        <w:t xml:space="preserve">ed by Demirgüç-Kunt and Maksimovic (1999) and Fan </w:t>
      </w:r>
      <w:r w:rsidR="005E2B08" w:rsidRPr="005E2B08">
        <w:rPr>
          <w:rFonts w:asciiTheme="minorHAnsi" w:hAnsiTheme="minorHAnsi" w:cstheme="minorHAnsi"/>
          <w:i/>
          <w:sz w:val="22"/>
          <w:szCs w:val="22"/>
          <w:lang w:val="en-GB"/>
        </w:rPr>
        <w:t>et al.</w:t>
      </w:r>
      <w:r w:rsidRPr="002B2630">
        <w:rPr>
          <w:rFonts w:asciiTheme="minorHAnsi" w:hAnsiTheme="minorHAnsi" w:cstheme="minorHAnsi"/>
          <w:sz w:val="22"/>
          <w:szCs w:val="22"/>
          <w:lang w:val="en-GB"/>
        </w:rPr>
        <w:t xml:space="preserve"> (2012). However, we not only exploit the variation over time of the firm and country variables</w:t>
      </w:r>
      <w:r w:rsidRPr="002B2630">
        <w:rPr>
          <w:rStyle w:val="Refdenotaalpie"/>
          <w:rFonts w:asciiTheme="minorHAnsi" w:hAnsiTheme="minorHAnsi" w:cstheme="minorHAnsi"/>
          <w:sz w:val="22"/>
          <w:szCs w:val="22"/>
          <w:lang w:val="en-GB"/>
        </w:rPr>
        <w:footnoteReference w:id="1"/>
      </w:r>
      <w:r w:rsidRPr="002B2630">
        <w:rPr>
          <w:rFonts w:asciiTheme="minorHAnsi" w:hAnsiTheme="minorHAnsi" w:cstheme="minorHAnsi"/>
          <w:sz w:val="22"/>
          <w:szCs w:val="22"/>
          <w:lang w:val="en-GB"/>
        </w:rPr>
        <w:t xml:space="preserve">, but also consider </w:t>
      </w:r>
      <w:r w:rsidR="0040214A">
        <w:rPr>
          <w:rFonts w:asciiTheme="minorHAnsi" w:hAnsiTheme="minorHAnsi" w:cstheme="minorHAnsi"/>
          <w:sz w:val="22"/>
          <w:szCs w:val="22"/>
          <w:lang w:val="en-GB"/>
        </w:rPr>
        <w:t>an</w:t>
      </w:r>
      <w:r w:rsidRPr="002B2630">
        <w:rPr>
          <w:rFonts w:asciiTheme="minorHAnsi" w:hAnsiTheme="minorHAnsi" w:cstheme="minorHAnsi"/>
          <w:sz w:val="22"/>
          <w:szCs w:val="22"/>
          <w:lang w:val="en-GB"/>
        </w:rPr>
        <w:t>other aspect, bank concentration</w:t>
      </w:r>
      <w:r w:rsidR="00A14B33">
        <w:rPr>
          <w:rFonts w:asciiTheme="minorHAnsi" w:hAnsiTheme="minorHAnsi" w:cstheme="minorHAnsi"/>
          <w:sz w:val="22"/>
          <w:szCs w:val="22"/>
          <w:lang w:val="en-GB"/>
        </w:rPr>
        <w:t xml:space="preserve">, </w:t>
      </w:r>
      <w:r w:rsidR="00A14B33" w:rsidRPr="00E135E9">
        <w:rPr>
          <w:rFonts w:asciiTheme="minorHAnsi" w:hAnsiTheme="minorHAnsi" w:cstheme="minorHAnsi"/>
          <w:sz w:val="22"/>
          <w:szCs w:val="22"/>
          <w:lang w:val="en-GB"/>
        </w:rPr>
        <w:t xml:space="preserve">not considered in </w:t>
      </w:r>
      <w:r w:rsidR="00470EB0" w:rsidRPr="00E135E9">
        <w:rPr>
          <w:rFonts w:asciiTheme="minorHAnsi" w:hAnsiTheme="minorHAnsi" w:cstheme="minorHAnsi"/>
          <w:sz w:val="22"/>
          <w:szCs w:val="22"/>
          <w:lang w:val="en-GB"/>
        </w:rPr>
        <w:t>the aforementioned</w:t>
      </w:r>
      <w:r w:rsidR="00A14B33" w:rsidRPr="00E135E9">
        <w:rPr>
          <w:rFonts w:asciiTheme="minorHAnsi" w:hAnsiTheme="minorHAnsi" w:cstheme="minorHAnsi"/>
          <w:sz w:val="22"/>
          <w:szCs w:val="22"/>
          <w:lang w:val="en-GB"/>
        </w:rPr>
        <w:t xml:space="preserve"> papers</w:t>
      </w:r>
      <w:r w:rsidRPr="002B2630">
        <w:rPr>
          <w:rFonts w:asciiTheme="minorHAnsi" w:hAnsiTheme="minorHAnsi" w:cstheme="minorHAnsi"/>
          <w:sz w:val="22"/>
          <w:szCs w:val="22"/>
          <w:lang w:val="en-GB"/>
        </w:rPr>
        <w:t>.</w:t>
      </w:r>
      <w:r w:rsidR="00E13B60">
        <w:rPr>
          <w:rFonts w:asciiTheme="minorHAnsi" w:hAnsiTheme="minorHAnsi" w:cstheme="minorHAnsi"/>
          <w:sz w:val="22"/>
          <w:szCs w:val="22"/>
          <w:lang w:val="en-GB"/>
        </w:rPr>
        <w:t xml:space="preserve"> </w:t>
      </w:r>
      <w:r w:rsidR="00DB6BC4" w:rsidRPr="00DB6BC4">
        <w:rPr>
          <w:rFonts w:asciiTheme="minorHAnsi" w:hAnsiTheme="minorHAnsi" w:cstheme="minorHAnsi"/>
          <w:sz w:val="22"/>
          <w:szCs w:val="22"/>
          <w:lang w:val="en-GB"/>
        </w:rPr>
        <w:t xml:space="preserve">Petersen and Rajan (1995) reveal that creditors are more likely to finance credit-constrained firms when credit markets are concentrated because it is easier for these creditors to internalize the benefits of assisting the firms. Similarly, González and González (2008) show that leverage increases with increasing bank concentration. The existence of a positive relationship between bank concentration and credit is in line with the idea that relationship banking is useful to reduce information asymmetries. Bank concentration can also affect debt maturity, as the effect on leverage could be stronger in long-term debt. </w:t>
      </w:r>
      <w:r w:rsidR="0040214A" w:rsidRPr="00DB6BC4">
        <w:rPr>
          <w:rFonts w:asciiTheme="minorHAnsi" w:hAnsiTheme="minorHAnsi" w:cstheme="minorHAnsi"/>
          <w:sz w:val="22"/>
          <w:szCs w:val="22"/>
          <w:lang w:val="en-GB"/>
        </w:rPr>
        <w:t xml:space="preserve">Our </w:t>
      </w:r>
      <w:r w:rsidR="00E13B60" w:rsidRPr="00DB6BC4">
        <w:rPr>
          <w:rFonts w:asciiTheme="minorHAnsi" w:hAnsiTheme="minorHAnsi" w:cstheme="minorHAnsi"/>
          <w:sz w:val="22"/>
          <w:szCs w:val="22"/>
          <w:lang w:val="en-GB"/>
        </w:rPr>
        <w:t>results suggest that bank concentration lengthen</w:t>
      </w:r>
      <w:r w:rsidR="0082014E" w:rsidRPr="00DB6BC4">
        <w:rPr>
          <w:rFonts w:asciiTheme="minorHAnsi" w:hAnsiTheme="minorHAnsi" w:cstheme="minorHAnsi"/>
          <w:sz w:val="22"/>
          <w:szCs w:val="22"/>
          <w:lang w:val="en-GB"/>
        </w:rPr>
        <w:t>s</w:t>
      </w:r>
      <w:r w:rsidR="00E13B60" w:rsidRPr="00DB6BC4">
        <w:rPr>
          <w:rFonts w:asciiTheme="minorHAnsi" w:hAnsiTheme="minorHAnsi" w:cstheme="minorHAnsi"/>
          <w:sz w:val="22"/>
          <w:szCs w:val="22"/>
          <w:lang w:val="en-GB"/>
        </w:rPr>
        <w:t xml:space="preserve"> the maturity of firm debt. This </w:t>
      </w:r>
      <w:r w:rsidR="0040214A" w:rsidRPr="00DB6BC4">
        <w:rPr>
          <w:rFonts w:asciiTheme="minorHAnsi" w:hAnsiTheme="minorHAnsi" w:cstheme="minorHAnsi"/>
          <w:sz w:val="22"/>
          <w:szCs w:val="22"/>
          <w:lang w:val="en-GB"/>
        </w:rPr>
        <w:t xml:space="preserve">finding </w:t>
      </w:r>
      <w:r w:rsidR="00E13B60" w:rsidRPr="00DB6BC4">
        <w:rPr>
          <w:rFonts w:asciiTheme="minorHAnsi" w:hAnsiTheme="minorHAnsi" w:cstheme="minorHAnsi"/>
          <w:sz w:val="22"/>
          <w:szCs w:val="22"/>
          <w:lang w:val="en-GB"/>
        </w:rPr>
        <w:t>is consistent with the evidence of greater financial constraints for US small firms in less concentrated credit markets (Petersen and Rajan, 1995).</w:t>
      </w:r>
    </w:p>
    <w:p w:rsidR="006E7EFE" w:rsidRDefault="006E7EFE" w:rsidP="00871120">
      <w:pPr>
        <w:spacing w:before="120" w:after="240" w:line="480" w:lineRule="auto"/>
        <w:jc w:val="both"/>
        <w:rPr>
          <w:rFonts w:asciiTheme="minorHAnsi" w:hAnsiTheme="minorHAnsi" w:cstheme="minorHAnsi"/>
          <w:sz w:val="22"/>
          <w:szCs w:val="22"/>
          <w:lang w:val="en-GB"/>
        </w:rPr>
      </w:pPr>
      <w:r w:rsidRPr="00DB6BC4">
        <w:rPr>
          <w:rFonts w:asciiTheme="minorHAnsi" w:hAnsiTheme="minorHAnsi" w:cstheme="minorHAnsi"/>
          <w:sz w:val="22"/>
          <w:szCs w:val="22"/>
          <w:lang w:val="en-GB"/>
        </w:rPr>
        <w:lastRenderedPageBreak/>
        <w:t>Second, we also study the complementary o</w:t>
      </w:r>
      <w:r w:rsidR="00CC6549" w:rsidRPr="00DB6BC4">
        <w:rPr>
          <w:rFonts w:asciiTheme="minorHAnsi" w:hAnsiTheme="minorHAnsi" w:cstheme="minorHAnsi"/>
          <w:sz w:val="22"/>
          <w:szCs w:val="22"/>
          <w:lang w:val="en-GB"/>
        </w:rPr>
        <w:t>r</w:t>
      </w:r>
      <w:r w:rsidRPr="00DB6BC4">
        <w:rPr>
          <w:rFonts w:asciiTheme="minorHAnsi" w:hAnsiTheme="minorHAnsi" w:cstheme="minorHAnsi"/>
          <w:sz w:val="22"/>
          <w:szCs w:val="22"/>
          <w:lang w:val="en-GB"/>
        </w:rPr>
        <w:t xml:space="preserve"> substitutive role of</w:t>
      </w:r>
      <w:r w:rsidR="00CC6549" w:rsidRPr="00DB6BC4">
        <w:rPr>
          <w:rFonts w:asciiTheme="minorHAnsi" w:hAnsiTheme="minorHAnsi" w:cstheme="minorHAnsi"/>
          <w:sz w:val="22"/>
          <w:szCs w:val="22"/>
          <w:lang w:val="en-GB"/>
        </w:rPr>
        <w:t xml:space="preserve"> </w:t>
      </w:r>
      <w:r w:rsidRPr="00DB6BC4">
        <w:rPr>
          <w:rFonts w:asciiTheme="minorHAnsi" w:hAnsiTheme="minorHAnsi" w:cstheme="minorHAnsi"/>
          <w:sz w:val="22"/>
          <w:szCs w:val="22"/>
          <w:lang w:val="en-GB"/>
        </w:rPr>
        <w:t>ba</w:t>
      </w:r>
      <w:r w:rsidR="00E13B60" w:rsidRPr="00DB6BC4">
        <w:rPr>
          <w:rFonts w:asciiTheme="minorHAnsi" w:hAnsiTheme="minorHAnsi" w:cstheme="minorHAnsi"/>
          <w:sz w:val="22"/>
          <w:szCs w:val="22"/>
          <w:lang w:val="en-GB"/>
        </w:rPr>
        <w:t>n</w:t>
      </w:r>
      <w:r w:rsidRPr="00DB6BC4">
        <w:rPr>
          <w:rFonts w:asciiTheme="minorHAnsi" w:hAnsiTheme="minorHAnsi" w:cstheme="minorHAnsi"/>
          <w:sz w:val="22"/>
          <w:szCs w:val="22"/>
          <w:lang w:val="en-GB"/>
        </w:rPr>
        <w:t>k</w:t>
      </w:r>
      <w:r w:rsidR="00E13B60" w:rsidRPr="00DB6BC4">
        <w:rPr>
          <w:rFonts w:asciiTheme="minorHAnsi" w:hAnsiTheme="minorHAnsi" w:cstheme="minorHAnsi"/>
          <w:sz w:val="22"/>
          <w:szCs w:val="22"/>
          <w:lang w:val="en-GB"/>
        </w:rPr>
        <w:t xml:space="preserve"> concentration</w:t>
      </w:r>
      <w:r w:rsidRPr="00DB6BC4">
        <w:rPr>
          <w:rFonts w:asciiTheme="minorHAnsi" w:hAnsiTheme="minorHAnsi" w:cstheme="minorHAnsi"/>
          <w:sz w:val="22"/>
          <w:szCs w:val="22"/>
          <w:lang w:val="en-GB"/>
        </w:rPr>
        <w:t xml:space="preserve"> and the quality of the institutional environment. </w:t>
      </w:r>
      <w:r w:rsidR="00E13B60" w:rsidRPr="00DB6BC4">
        <w:rPr>
          <w:rFonts w:asciiTheme="minorHAnsi" w:hAnsiTheme="minorHAnsi" w:cstheme="minorHAnsi"/>
          <w:sz w:val="22"/>
          <w:szCs w:val="22"/>
          <w:lang w:val="en-GB"/>
        </w:rPr>
        <w:t xml:space="preserve">La Porta </w:t>
      </w:r>
      <w:r w:rsidR="00E13B60" w:rsidRPr="00DB6BC4">
        <w:rPr>
          <w:rFonts w:asciiTheme="minorHAnsi" w:hAnsiTheme="minorHAnsi" w:cstheme="minorHAnsi"/>
          <w:i/>
          <w:sz w:val="22"/>
          <w:szCs w:val="22"/>
          <w:lang w:val="en-GB"/>
        </w:rPr>
        <w:t>et al</w:t>
      </w:r>
      <w:r w:rsidR="00E13B60" w:rsidRPr="00DB6BC4">
        <w:rPr>
          <w:rFonts w:asciiTheme="minorHAnsi" w:hAnsiTheme="minorHAnsi" w:cstheme="minorHAnsi"/>
          <w:sz w:val="22"/>
          <w:szCs w:val="22"/>
          <w:lang w:val="en-GB"/>
        </w:rPr>
        <w:t xml:space="preserve">. (1997, 1998) state that long-term relationships may be promoted between banks and debtors in markets with low levels of legal protection of property and creditors’ rights. </w:t>
      </w:r>
      <w:r w:rsidRPr="00DB6BC4">
        <w:rPr>
          <w:rFonts w:asciiTheme="minorHAnsi" w:hAnsiTheme="minorHAnsi" w:cstheme="minorHAnsi"/>
          <w:sz w:val="22"/>
          <w:szCs w:val="22"/>
          <w:lang w:val="en-GB"/>
        </w:rPr>
        <w:t xml:space="preserve">Both institutional quality and bank </w:t>
      </w:r>
      <w:r w:rsidR="00E13B60" w:rsidRPr="00DB6BC4">
        <w:rPr>
          <w:rFonts w:asciiTheme="minorHAnsi" w:hAnsiTheme="minorHAnsi" w:cstheme="minorHAnsi"/>
          <w:sz w:val="22"/>
          <w:szCs w:val="22"/>
          <w:lang w:val="en-GB"/>
        </w:rPr>
        <w:t>concentration</w:t>
      </w:r>
      <w:r w:rsidRPr="00DB6BC4">
        <w:rPr>
          <w:rFonts w:asciiTheme="minorHAnsi" w:hAnsiTheme="minorHAnsi" w:cstheme="minorHAnsi"/>
          <w:sz w:val="22"/>
          <w:szCs w:val="22"/>
          <w:lang w:val="en-GB"/>
        </w:rPr>
        <w:t xml:space="preserve"> are mechanisms </w:t>
      </w:r>
      <w:r w:rsidR="0040214A" w:rsidRPr="00DB6BC4">
        <w:rPr>
          <w:rFonts w:asciiTheme="minorHAnsi" w:hAnsiTheme="minorHAnsi" w:cstheme="minorHAnsi"/>
          <w:sz w:val="22"/>
          <w:szCs w:val="22"/>
          <w:lang w:val="en-GB"/>
        </w:rPr>
        <w:t xml:space="preserve">for </w:t>
      </w:r>
      <w:r w:rsidRPr="00DB6BC4">
        <w:rPr>
          <w:rFonts w:asciiTheme="minorHAnsi" w:hAnsiTheme="minorHAnsi" w:cstheme="minorHAnsi"/>
          <w:sz w:val="22"/>
          <w:szCs w:val="22"/>
          <w:lang w:val="en-GB"/>
        </w:rPr>
        <w:t>reduc</w:t>
      </w:r>
      <w:r w:rsidR="0040214A" w:rsidRPr="00DB6BC4">
        <w:rPr>
          <w:rFonts w:asciiTheme="minorHAnsi" w:hAnsiTheme="minorHAnsi" w:cstheme="minorHAnsi"/>
          <w:sz w:val="22"/>
          <w:szCs w:val="22"/>
          <w:lang w:val="en-GB"/>
        </w:rPr>
        <w:t>ing</w:t>
      </w:r>
      <w:r w:rsidRPr="00DB6BC4">
        <w:rPr>
          <w:rFonts w:asciiTheme="minorHAnsi" w:hAnsiTheme="minorHAnsi" w:cstheme="minorHAnsi"/>
          <w:sz w:val="22"/>
          <w:szCs w:val="22"/>
          <w:lang w:val="en-GB"/>
        </w:rPr>
        <w:t xml:space="preserve"> agency co</w:t>
      </w:r>
      <w:r w:rsidR="007B22B9" w:rsidRPr="00DB6BC4">
        <w:rPr>
          <w:rFonts w:asciiTheme="minorHAnsi" w:hAnsiTheme="minorHAnsi" w:cstheme="minorHAnsi"/>
          <w:sz w:val="22"/>
          <w:szCs w:val="22"/>
          <w:lang w:val="en-GB"/>
        </w:rPr>
        <w:t>sts and information asymmetries</w:t>
      </w:r>
      <w:r w:rsidRPr="00DB6BC4">
        <w:rPr>
          <w:rFonts w:asciiTheme="minorHAnsi" w:hAnsiTheme="minorHAnsi" w:cstheme="minorHAnsi"/>
          <w:sz w:val="22"/>
          <w:szCs w:val="22"/>
          <w:lang w:val="en-GB"/>
        </w:rPr>
        <w:t>.</w:t>
      </w:r>
      <w:r w:rsidR="007B22B9" w:rsidRPr="00DB6BC4">
        <w:rPr>
          <w:rFonts w:asciiTheme="minorHAnsi" w:hAnsiTheme="minorHAnsi" w:cstheme="minorHAnsi"/>
          <w:sz w:val="22"/>
          <w:szCs w:val="22"/>
          <w:lang w:val="en-GB"/>
        </w:rPr>
        <w:t xml:space="preserve"> </w:t>
      </w:r>
      <w:r w:rsidR="00E13B60" w:rsidRPr="00DB6BC4">
        <w:rPr>
          <w:rFonts w:asciiTheme="minorHAnsi" w:hAnsiTheme="minorHAnsi" w:cstheme="minorHAnsi"/>
          <w:sz w:val="22"/>
          <w:szCs w:val="22"/>
          <w:lang w:val="en-GB"/>
        </w:rPr>
        <w:t>Bank concentration in countries with a low protection of rights may favour long-term relationships between lenders and debtors and have a positive effect on corporate debt maturity, substituting good legal protection of rights.</w:t>
      </w:r>
      <w:r w:rsidR="00E13B60">
        <w:rPr>
          <w:rFonts w:asciiTheme="minorHAnsi" w:hAnsiTheme="minorHAnsi" w:cstheme="minorHAnsi"/>
          <w:sz w:val="22"/>
          <w:szCs w:val="22"/>
          <w:lang w:val="en-GB"/>
        </w:rPr>
        <w:t xml:space="preserve"> </w:t>
      </w:r>
    </w:p>
    <w:p w:rsidR="00871120" w:rsidRPr="002B2630" w:rsidRDefault="006E7EFE" w:rsidP="00871120">
      <w:pPr>
        <w:spacing w:before="120" w:after="240" w:line="480" w:lineRule="auto"/>
        <w:jc w:val="both"/>
        <w:rPr>
          <w:rFonts w:asciiTheme="minorHAnsi" w:hAnsiTheme="minorHAnsi" w:cstheme="minorHAnsi"/>
          <w:sz w:val="22"/>
          <w:szCs w:val="22"/>
          <w:lang w:val="en-GB"/>
        </w:rPr>
      </w:pPr>
      <w:r>
        <w:rPr>
          <w:rFonts w:asciiTheme="minorHAnsi" w:hAnsiTheme="minorHAnsi" w:cstheme="minorHAnsi"/>
          <w:sz w:val="22"/>
          <w:szCs w:val="22"/>
          <w:lang w:val="en-GB"/>
        </w:rPr>
        <w:t>Finally</w:t>
      </w:r>
      <w:r w:rsidR="00871120" w:rsidRPr="002B2630">
        <w:rPr>
          <w:rFonts w:asciiTheme="minorHAnsi" w:hAnsiTheme="minorHAnsi" w:cstheme="minorHAnsi"/>
          <w:sz w:val="22"/>
          <w:szCs w:val="22"/>
          <w:lang w:val="en-GB"/>
        </w:rPr>
        <w:t xml:space="preserve">, we consider how results vary depending on firm size, as evidence has highlighted the </w:t>
      </w:r>
      <w:r w:rsidR="0040214A">
        <w:rPr>
          <w:rFonts w:asciiTheme="minorHAnsi" w:hAnsiTheme="minorHAnsi" w:cstheme="minorHAnsi"/>
          <w:sz w:val="22"/>
          <w:szCs w:val="22"/>
          <w:lang w:val="en-GB"/>
        </w:rPr>
        <w:t>importance</w:t>
      </w:r>
      <w:r w:rsidR="0040214A" w:rsidRPr="002B2630">
        <w:rPr>
          <w:rFonts w:asciiTheme="minorHAnsi" w:hAnsiTheme="minorHAnsi" w:cstheme="minorHAnsi"/>
          <w:sz w:val="22"/>
          <w:szCs w:val="22"/>
          <w:lang w:val="en-GB"/>
        </w:rPr>
        <w:t xml:space="preserve"> </w:t>
      </w:r>
      <w:r w:rsidR="00871120" w:rsidRPr="002B2630">
        <w:rPr>
          <w:rFonts w:asciiTheme="minorHAnsi" w:hAnsiTheme="minorHAnsi" w:cstheme="minorHAnsi"/>
          <w:sz w:val="22"/>
          <w:szCs w:val="22"/>
          <w:lang w:val="en-GB"/>
        </w:rPr>
        <w:t xml:space="preserve">of this variable. For instance, Giannetti (2003) has shown that the effect of institutional variables on the use of debt depends on firm size in a sample of listed and unlisted companies in eight European countries. Figure 2 shows the average ratio of long-term debt to total debt for our sample </w:t>
      </w:r>
      <w:r w:rsidR="00A14B33" w:rsidRPr="00E135E9">
        <w:rPr>
          <w:rFonts w:asciiTheme="minorHAnsi" w:hAnsiTheme="minorHAnsi" w:cstheme="minorHAnsi"/>
          <w:sz w:val="22"/>
          <w:szCs w:val="22"/>
          <w:lang w:val="en-GB"/>
        </w:rPr>
        <w:t>during the period 1995-2012</w:t>
      </w:r>
      <w:r w:rsidR="0040214A">
        <w:rPr>
          <w:rFonts w:asciiTheme="minorHAnsi" w:hAnsiTheme="minorHAnsi" w:cstheme="minorHAnsi"/>
          <w:sz w:val="22"/>
          <w:szCs w:val="22"/>
          <w:lang w:val="en-GB"/>
        </w:rPr>
        <w:t>,</w:t>
      </w:r>
      <w:r w:rsidR="00871120" w:rsidRPr="002B2630">
        <w:rPr>
          <w:rFonts w:asciiTheme="minorHAnsi" w:hAnsiTheme="minorHAnsi" w:cstheme="minorHAnsi"/>
          <w:sz w:val="22"/>
          <w:szCs w:val="22"/>
          <w:lang w:val="en-GB"/>
        </w:rPr>
        <w:t xml:space="preserve"> considering large and small firms separately for each country. </w:t>
      </w:r>
      <w:r w:rsidR="00871120">
        <w:rPr>
          <w:rFonts w:asciiTheme="minorHAnsi" w:hAnsiTheme="minorHAnsi" w:cstheme="minorHAnsi"/>
          <w:sz w:val="22"/>
          <w:szCs w:val="22"/>
          <w:lang w:val="en-GB"/>
        </w:rPr>
        <w:t>Large firms can be seen to report</w:t>
      </w:r>
      <w:r w:rsidR="00871120" w:rsidRPr="002B2630">
        <w:rPr>
          <w:rFonts w:asciiTheme="minorHAnsi" w:hAnsiTheme="minorHAnsi" w:cstheme="minorHAnsi"/>
          <w:sz w:val="22"/>
          <w:szCs w:val="22"/>
          <w:lang w:val="en-GB"/>
        </w:rPr>
        <w:t xml:space="preserve"> higher ratios of long-term debt to total liabilities than small firms</w:t>
      </w:r>
      <w:r w:rsidR="00612930">
        <w:rPr>
          <w:rFonts w:asciiTheme="minorHAnsi" w:hAnsiTheme="minorHAnsi" w:cstheme="minorHAnsi"/>
          <w:sz w:val="22"/>
          <w:szCs w:val="22"/>
          <w:lang w:val="en-GB"/>
        </w:rPr>
        <w:t xml:space="preserve">. </w:t>
      </w:r>
      <w:r w:rsidRPr="004D7832">
        <w:rPr>
          <w:rFonts w:asciiTheme="minorHAnsi" w:hAnsiTheme="minorHAnsi" w:cstheme="minorHAnsi"/>
          <w:sz w:val="22"/>
          <w:szCs w:val="22"/>
          <w:lang w:val="en-GB"/>
        </w:rPr>
        <w:t xml:space="preserve">Consequently, we analyse </w:t>
      </w:r>
      <w:r w:rsidR="0082014E" w:rsidRPr="004D7832">
        <w:rPr>
          <w:rFonts w:asciiTheme="minorHAnsi" w:hAnsiTheme="minorHAnsi" w:cstheme="minorHAnsi"/>
          <w:sz w:val="22"/>
          <w:szCs w:val="22"/>
          <w:lang w:val="en-GB"/>
        </w:rPr>
        <w:t xml:space="preserve">whether </w:t>
      </w:r>
      <w:r w:rsidRPr="004D7832">
        <w:rPr>
          <w:rFonts w:asciiTheme="minorHAnsi" w:hAnsiTheme="minorHAnsi" w:cstheme="minorHAnsi"/>
          <w:sz w:val="22"/>
          <w:szCs w:val="22"/>
          <w:lang w:val="en-GB"/>
        </w:rPr>
        <w:t>the d</w:t>
      </w:r>
      <w:r w:rsidR="00871120" w:rsidRPr="004D7832">
        <w:rPr>
          <w:rFonts w:asciiTheme="minorHAnsi" w:hAnsiTheme="minorHAnsi" w:cstheme="minorHAnsi"/>
          <w:sz w:val="22"/>
          <w:szCs w:val="22"/>
          <w:lang w:val="en-GB"/>
        </w:rPr>
        <w:t xml:space="preserve">ifferences in financing patterns according to firm size may reflect differences in access to financial markets and institutions even within the same economy. </w:t>
      </w:r>
      <w:r w:rsidRPr="004D7832">
        <w:rPr>
          <w:rFonts w:asciiTheme="minorHAnsi" w:hAnsiTheme="minorHAnsi" w:cstheme="minorHAnsi"/>
          <w:sz w:val="22"/>
          <w:szCs w:val="22"/>
          <w:lang w:val="en-GB"/>
        </w:rPr>
        <w:t xml:space="preserve">Specifically, we </w:t>
      </w:r>
      <w:r w:rsidR="0082014E" w:rsidRPr="004D7832">
        <w:rPr>
          <w:rFonts w:asciiTheme="minorHAnsi" w:hAnsiTheme="minorHAnsi" w:cstheme="minorHAnsi"/>
          <w:sz w:val="22"/>
          <w:szCs w:val="22"/>
          <w:lang w:val="en-GB"/>
        </w:rPr>
        <w:t xml:space="preserve">focus </w:t>
      </w:r>
      <w:r w:rsidRPr="004D7832">
        <w:rPr>
          <w:rFonts w:asciiTheme="minorHAnsi" w:hAnsiTheme="minorHAnsi" w:cstheme="minorHAnsi"/>
          <w:sz w:val="22"/>
          <w:szCs w:val="22"/>
          <w:lang w:val="en-GB"/>
        </w:rPr>
        <w:t xml:space="preserve">our </w:t>
      </w:r>
      <w:r w:rsidR="00B639C5" w:rsidRPr="004D7832">
        <w:rPr>
          <w:rFonts w:asciiTheme="minorHAnsi" w:hAnsiTheme="minorHAnsi" w:cstheme="minorHAnsi"/>
          <w:sz w:val="22"/>
          <w:szCs w:val="22"/>
          <w:lang w:val="en-GB"/>
        </w:rPr>
        <w:t xml:space="preserve">analysis </w:t>
      </w:r>
      <w:r w:rsidR="0082014E" w:rsidRPr="004D7832">
        <w:rPr>
          <w:rFonts w:asciiTheme="minorHAnsi" w:hAnsiTheme="minorHAnsi" w:cstheme="minorHAnsi"/>
          <w:sz w:val="22"/>
          <w:szCs w:val="22"/>
          <w:lang w:val="en-GB"/>
        </w:rPr>
        <w:t xml:space="preserve">on </w:t>
      </w:r>
      <w:r w:rsidRPr="004D7832">
        <w:rPr>
          <w:rFonts w:asciiTheme="minorHAnsi" w:hAnsiTheme="minorHAnsi" w:cstheme="minorHAnsi"/>
          <w:sz w:val="22"/>
          <w:szCs w:val="22"/>
          <w:lang w:val="en-GB"/>
        </w:rPr>
        <w:t>the role played by the banking structure</w:t>
      </w:r>
      <w:r w:rsidR="00B639C5" w:rsidRPr="004D7832">
        <w:rPr>
          <w:rFonts w:asciiTheme="minorHAnsi" w:hAnsiTheme="minorHAnsi" w:cstheme="minorHAnsi"/>
          <w:sz w:val="22"/>
          <w:szCs w:val="22"/>
          <w:lang w:val="en-GB"/>
        </w:rPr>
        <w:t xml:space="preserve"> according to firm size</w:t>
      </w:r>
      <w:r w:rsidR="0040214A" w:rsidRPr="004D7832">
        <w:rPr>
          <w:rFonts w:asciiTheme="minorHAnsi" w:hAnsiTheme="minorHAnsi" w:cstheme="minorHAnsi"/>
          <w:sz w:val="22"/>
          <w:szCs w:val="22"/>
          <w:lang w:val="en-GB"/>
        </w:rPr>
        <w:t>,</w:t>
      </w:r>
      <w:r w:rsidR="00B639C5" w:rsidRPr="004D7832">
        <w:rPr>
          <w:rFonts w:asciiTheme="minorHAnsi" w:hAnsiTheme="minorHAnsi" w:cstheme="minorHAnsi"/>
          <w:sz w:val="22"/>
          <w:szCs w:val="22"/>
          <w:lang w:val="en-GB"/>
        </w:rPr>
        <w:t xml:space="preserve"> as bank preferences and bank concentration may have</w:t>
      </w:r>
      <w:r w:rsidR="0040214A" w:rsidRPr="004D7832">
        <w:rPr>
          <w:rFonts w:asciiTheme="minorHAnsi" w:hAnsiTheme="minorHAnsi" w:cstheme="minorHAnsi"/>
          <w:sz w:val="22"/>
          <w:szCs w:val="22"/>
          <w:lang w:val="en-GB"/>
        </w:rPr>
        <w:t xml:space="preserve"> a</w:t>
      </w:r>
      <w:r w:rsidR="00B639C5" w:rsidRPr="004D7832">
        <w:rPr>
          <w:rFonts w:asciiTheme="minorHAnsi" w:hAnsiTheme="minorHAnsi" w:cstheme="minorHAnsi"/>
          <w:sz w:val="22"/>
          <w:szCs w:val="22"/>
          <w:lang w:val="en-GB"/>
        </w:rPr>
        <w:t xml:space="preserve"> greater effect on smaller firms</w:t>
      </w:r>
      <w:r w:rsidR="004D7832">
        <w:rPr>
          <w:rFonts w:asciiTheme="minorHAnsi" w:hAnsiTheme="minorHAnsi" w:cstheme="minorHAnsi"/>
          <w:sz w:val="22"/>
          <w:szCs w:val="22"/>
          <w:lang w:val="en-GB"/>
        </w:rPr>
        <w:t xml:space="preserve">, </w:t>
      </w:r>
      <w:r w:rsidR="009F5643">
        <w:rPr>
          <w:rFonts w:asciiTheme="minorHAnsi" w:hAnsiTheme="minorHAnsi" w:cstheme="minorHAnsi"/>
          <w:sz w:val="22"/>
          <w:szCs w:val="22"/>
          <w:lang w:val="en-GB"/>
        </w:rPr>
        <w:t>because these</w:t>
      </w:r>
      <w:r w:rsidR="004D7832">
        <w:rPr>
          <w:rFonts w:asciiTheme="minorHAnsi" w:hAnsiTheme="minorHAnsi" w:cstheme="minorHAnsi"/>
          <w:sz w:val="22"/>
          <w:szCs w:val="22"/>
          <w:lang w:val="en-GB"/>
        </w:rPr>
        <w:t xml:space="preserve"> firms are more dependent o</w:t>
      </w:r>
      <w:r w:rsidR="009F5643">
        <w:rPr>
          <w:rFonts w:asciiTheme="minorHAnsi" w:hAnsiTheme="minorHAnsi" w:cstheme="minorHAnsi"/>
          <w:sz w:val="22"/>
          <w:szCs w:val="22"/>
          <w:lang w:val="en-GB"/>
        </w:rPr>
        <w:t>n</w:t>
      </w:r>
      <w:r w:rsidR="004D7832">
        <w:rPr>
          <w:rFonts w:asciiTheme="minorHAnsi" w:hAnsiTheme="minorHAnsi" w:cstheme="minorHAnsi"/>
          <w:sz w:val="22"/>
          <w:szCs w:val="22"/>
          <w:lang w:val="en-GB"/>
        </w:rPr>
        <w:t xml:space="preserve"> bank financing</w:t>
      </w:r>
      <w:r w:rsidR="00B639C5" w:rsidRPr="004D7832">
        <w:rPr>
          <w:rFonts w:asciiTheme="minorHAnsi" w:hAnsiTheme="minorHAnsi" w:cstheme="minorHAnsi"/>
          <w:sz w:val="22"/>
          <w:szCs w:val="22"/>
          <w:lang w:val="en-GB"/>
        </w:rPr>
        <w:t>.</w:t>
      </w:r>
      <w:r w:rsidR="00B639C5">
        <w:rPr>
          <w:rFonts w:asciiTheme="minorHAnsi" w:hAnsiTheme="minorHAnsi" w:cstheme="minorHAnsi"/>
          <w:sz w:val="22"/>
          <w:szCs w:val="22"/>
          <w:lang w:val="en-GB"/>
        </w:rPr>
        <w:t xml:space="preserve"> </w:t>
      </w:r>
    </w:p>
    <w:p w:rsidR="00871120" w:rsidRPr="002B2630" w:rsidRDefault="00871120" w:rsidP="00871120">
      <w:pPr>
        <w:spacing w:before="120" w:after="240" w:line="480" w:lineRule="auto"/>
        <w:jc w:val="center"/>
        <w:rPr>
          <w:rFonts w:asciiTheme="minorHAnsi" w:hAnsiTheme="minorHAnsi" w:cstheme="minorHAnsi"/>
          <w:sz w:val="22"/>
          <w:szCs w:val="22"/>
          <w:lang w:val="en-GB"/>
        </w:rPr>
      </w:pPr>
      <w:r w:rsidRPr="002B2630">
        <w:rPr>
          <w:rFonts w:asciiTheme="minorHAnsi" w:hAnsiTheme="minorHAnsi" w:cstheme="minorHAnsi"/>
          <w:sz w:val="22"/>
          <w:szCs w:val="22"/>
          <w:lang w:val="en-GB"/>
        </w:rPr>
        <w:t>FIGURE 2 ABOUT HERE</w:t>
      </w:r>
    </w:p>
    <w:p w:rsidR="00871120" w:rsidRPr="002B2630" w:rsidRDefault="00871120" w:rsidP="00871120">
      <w:pPr>
        <w:spacing w:before="120" w:after="240" w:line="480" w:lineRule="auto"/>
        <w:jc w:val="both"/>
        <w:rPr>
          <w:rFonts w:asciiTheme="minorHAnsi" w:hAnsiTheme="minorHAnsi" w:cstheme="minorHAnsi"/>
          <w:sz w:val="22"/>
          <w:szCs w:val="22"/>
          <w:lang w:val="en-GB"/>
        </w:rPr>
      </w:pPr>
      <w:r w:rsidRPr="004D7832">
        <w:rPr>
          <w:rFonts w:asciiTheme="minorHAnsi" w:hAnsiTheme="minorHAnsi" w:cstheme="minorHAnsi"/>
          <w:sz w:val="22"/>
          <w:szCs w:val="22"/>
          <w:lang w:val="en-GB"/>
        </w:rPr>
        <w:t xml:space="preserve">Our results indicate that legal enforcement, protection of creditors’ rights and bank concentration lengthen the maturity of </w:t>
      </w:r>
      <w:r w:rsidR="0082014E" w:rsidRPr="004D7832">
        <w:rPr>
          <w:rFonts w:asciiTheme="minorHAnsi" w:hAnsiTheme="minorHAnsi" w:cstheme="minorHAnsi"/>
          <w:sz w:val="22"/>
          <w:szCs w:val="22"/>
          <w:lang w:val="en-GB"/>
        </w:rPr>
        <w:t xml:space="preserve">corporate </w:t>
      </w:r>
      <w:r w:rsidRPr="004D7832">
        <w:rPr>
          <w:rFonts w:asciiTheme="minorHAnsi" w:hAnsiTheme="minorHAnsi" w:cstheme="minorHAnsi"/>
          <w:sz w:val="22"/>
          <w:szCs w:val="22"/>
          <w:lang w:val="en-GB"/>
        </w:rPr>
        <w:t>debt, while the size of the banking system favour</w:t>
      </w:r>
      <w:r w:rsidR="001A06DC" w:rsidRPr="004D7832">
        <w:rPr>
          <w:rFonts w:asciiTheme="minorHAnsi" w:hAnsiTheme="minorHAnsi" w:cstheme="minorHAnsi"/>
          <w:sz w:val="22"/>
          <w:szCs w:val="22"/>
          <w:lang w:val="en-GB"/>
        </w:rPr>
        <w:t>s</w:t>
      </w:r>
      <w:r w:rsidRPr="004D7832">
        <w:rPr>
          <w:rFonts w:asciiTheme="minorHAnsi" w:hAnsiTheme="minorHAnsi" w:cstheme="minorHAnsi"/>
          <w:sz w:val="22"/>
          <w:szCs w:val="22"/>
          <w:lang w:val="en-GB"/>
        </w:rPr>
        <w:t xml:space="preserve"> the use of short-term debt. </w:t>
      </w:r>
      <w:r w:rsidR="004071B5" w:rsidRPr="004D7832">
        <w:rPr>
          <w:rFonts w:asciiTheme="minorHAnsi" w:hAnsiTheme="minorHAnsi" w:cstheme="minorHAnsi"/>
          <w:sz w:val="22"/>
          <w:szCs w:val="22"/>
          <w:lang w:val="en-GB"/>
        </w:rPr>
        <w:t xml:space="preserve">The effect of bank </w:t>
      </w:r>
      <w:r w:rsidR="009160F8" w:rsidRPr="004D7832">
        <w:rPr>
          <w:rFonts w:asciiTheme="minorHAnsi" w:hAnsiTheme="minorHAnsi" w:cstheme="minorHAnsi"/>
          <w:sz w:val="22"/>
          <w:szCs w:val="22"/>
          <w:lang w:val="en-GB"/>
        </w:rPr>
        <w:t>concentration</w:t>
      </w:r>
      <w:r w:rsidR="004071B5" w:rsidRPr="004D7832">
        <w:rPr>
          <w:rFonts w:asciiTheme="minorHAnsi" w:hAnsiTheme="minorHAnsi" w:cstheme="minorHAnsi"/>
          <w:sz w:val="22"/>
          <w:szCs w:val="22"/>
          <w:lang w:val="en-GB"/>
        </w:rPr>
        <w:t xml:space="preserve"> is particularly </w:t>
      </w:r>
      <w:r w:rsidR="0040214A" w:rsidRPr="004D7832">
        <w:rPr>
          <w:rFonts w:asciiTheme="minorHAnsi" w:hAnsiTheme="minorHAnsi" w:cstheme="minorHAnsi"/>
          <w:sz w:val="22"/>
          <w:szCs w:val="22"/>
          <w:lang w:val="en-GB"/>
        </w:rPr>
        <w:t>evident</w:t>
      </w:r>
      <w:r w:rsidR="0082014E" w:rsidRPr="004D7832">
        <w:rPr>
          <w:rFonts w:asciiTheme="minorHAnsi" w:hAnsiTheme="minorHAnsi" w:cstheme="minorHAnsi"/>
          <w:sz w:val="22"/>
          <w:szCs w:val="22"/>
          <w:lang w:val="en-GB"/>
        </w:rPr>
        <w:t xml:space="preserve"> in</w:t>
      </w:r>
      <w:r w:rsidR="004071B5" w:rsidRPr="004D7832">
        <w:rPr>
          <w:rFonts w:asciiTheme="minorHAnsi" w:hAnsiTheme="minorHAnsi" w:cstheme="minorHAnsi"/>
          <w:sz w:val="22"/>
          <w:szCs w:val="22"/>
          <w:lang w:val="en-GB"/>
        </w:rPr>
        <w:t xml:space="preserve"> countries with low institutional quality, in line with the substitutive role of institutional quality </w:t>
      </w:r>
      <w:r w:rsidR="004071B5" w:rsidRPr="004D7832">
        <w:rPr>
          <w:rFonts w:asciiTheme="minorHAnsi" w:hAnsiTheme="minorHAnsi" w:cstheme="minorHAnsi"/>
          <w:sz w:val="22"/>
          <w:szCs w:val="22"/>
          <w:lang w:val="en-GB"/>
        </w:rPr>
        <w:lastRenderedPageBreak/>
        <w:t xml:space="preserve">and </w:t>
      </w:r>
      <w:r w:rsidR="00E13B60" w:rsidRPr="004D7832">
        <w:rPr>
          <w:rFonts w:asciiTheme="minorHAnsi" w:hAnsiTheme="minorHAnsi" w:cstheme="minorHAnsi"/>
          <w:sz w:val="22"/>
          <w:szCs w:val="22"/>
          <w:lang w:val="en-GB"/>
        </w:rPr>
        <w:t xml:space="preserve">bank concentration </w:t>
      </w:r>
      <w:r w:rsidR="0082014E" w:rsidRPr="004D7832">
        <w:rPr>
          <w:rFonts w:asciiTheme="minorHAnsi" w:hAnsiTheme="minorHAnsi" w:cstheme="minorHAnsi"/>
          <w:sz w:val="22"/>
          <w:szCs w:val="22"/>
          <w:lang w:val="en-GB"/>
        </w:rPr>
        <w:t xml:space="preserve">in </w:t>
      </w:r>
      <w:r w:rsidR="004071B5" w:rsidRPr="004D7832">
        <w:rPr>
          <w:rFonts w:asciiTheme="minorHAnsi" w:hAnsiTheme="minorHAnsi" w:cstheme="minorHAnsi"/>
          <w:sz w:val="22"/>
          <w:szCs w:val="22"/>
          <w:lang w:val="en-GB"/>
        </w:rPr>
        <w:t>reduc</w:t>
      </w:r>
      <w:r w:rsidR="0082014E" w:rsidRPr="004D7832">
        <w:rPr>
          <w:rFonts w:asciiTheme="minorHAnsi" w:hAnsiTheme="minorHAnsi" w:cstheme="minorHAnsi"/>
          <w:sz w:val="22"/>
          <w:szCs w:val="22"/>
          <w:lang w:val="en-GB"/>
        </w:rPr>
        <w:t>ing</w:t>
      </w:r>
      <w:r w:rsidR="004071B5" w:rsidRPr="004D7832">
        <w:rPr>
          <w:rFonts w:asciiTheme="minorHAnsi" w:hAnsiTheme="minorHAnsi" w:cstheme="minorHAnsi"/>
          <w:sz w:val="22"/>
          <w:szCs w:val="22"/>
          <w:lang w:val="en-GB"/>
        </w:rPr>
        <w:t xml:space="preserve"> agency costs and information asymmetries. </w:t>
      </w:r>
      <w:r w:rsidR="00520E28" w:rsidRPr="004D7832">
        <w:rPr>
          <w:rFonts w:asciiTheme="minorHAnsi" w:hAnsiTheme="minorHAnsi" w:cstheme="minorHAnsi"/>
          <w:sz w:val="22"/>
          <w:szCs w:val="22"/>
          <w:lang w:val="en-GB"/>
        </w:rPr>
        <w:t xml:space="preserve">The results also reveal </w:t>
      </w:r>
      <w:r w:rsidR="00612930">
        <w:rPr>
          <w:rFonts w:asciiTheme="minorHAnsi" w:hAnsiTheme="minorHAnsi" w:cstheme="minorHAnsi"/>
          <w:sz w:val="22"/>
          <w:szCs w:val="22"/>
          <w:lang w:val="en-GB"/>
        </w:rPr>
        <w:t>that b</w:t>
      </w:r>
      <w:r w:rsidR="00520E28" w:rsidRPr="004D7832">
        <w:rPr>
          <w:rFonts w:asciiTheme="minorHAnsi" w:hAnsiTheme="minorHAnsi" w:cstheme="minorHAnsi"/>
          <w:sz w:val="22"/>
          <w:szCs w:val="22"/>
          <w:lang w:val="en-GB"/>
        </w:rPr>
        <w:t>ank concentration and the weight of banks in the financing of the private sector have a greater effect on debt maturity in smaller firms.</w:t>
      </w:r>
    </w:p>
    <w:p w:rsidR="00871120" w:rsidRPr="002B2630"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 xml:space="preserve">The remainder of this paper is organized as follows. Section </w:t>
      </w:r>
      <w:r w:rsidR="00E806C0">
        <w:rPr>
          <w:rFonts w:asciiTheme="minorHAnsi" w:hAnsiTheme="minorHAnsi" w:cstheme="minorHAnsi"/>
          <w:sz w:val="22"/>
          <w:szCs w:val="22"/>
          <w:lang w:val="en-GB"/>
        </w:rPr>
        <w:t>2</w:t>
      </w:r>
      <w:r w:rsidRPr="002B2630">
        <w:rPr>
          <w:rFonts w:asciiTheme="minorHAnsi" w:hAnsiTheme="minorHAnsi" w:cstheme="minorHAnsi"/>
          <w:sz w:val="22"/>
          <w:szCs w:val="22"/>
          <w:lang w:val="en-GB"/>
        </w:rPr>
        <w:t xml:space="preserve"> discusses the influence of the legal and institutional environment and the structure of the banking system </w:t>
      </w:r>
      <w:r w:rsidR="001532BB">
        <w:rPr>
          <w:rFonts w:asciiTheme="minorHAnsi" w:hAnsiTheme="minorHAnsi" w:cstheme="minorHAnsi"/>
          <w:sz w:val="22"/>
          <w:szCs w:val="22"/>
          <w:lang w:val="en-GB"/>
        </w:rPr>
        <w:t>over</w:t>
      </w:r>
      <w:r w:rsidR="001532BB" w:rsidRPr="002B2630">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 xml:space="preserve">firm debt maturity. Section </w:t>
      </w:r>
      <w:r w:rsidR="00E806C0">
        <w:rPr>
          <w:rFonts w:asciiTheme="minorHAnsi" w:hAnsiTheme="minorHAnsi" w:cstheme="minorHAnsi"/>
          <w:sz w:val="22"/>
          <w:szCs w:val="22"/>
          <w:lang w:val="en-GB"/>
        </w:rPr>
        <w:t>3</w:t>
      </w:r>
      <w:r w:rsidRPr="002B2630">
        <w:rPr>
          <w:rFonts w:asciiTheme="minorHAnsi" w:hAnsiTheme="minorHAnsi" w:cstheme="minorHAnsi"/>
          <w:sz w:val="22"/>
          <w:szCs w:val="22"/>
          <w:lang w:val="en-GB"/>
        </w:rPr>
        <w:t xml:space="preserve"> describes the data sources and variables used in the study. Section </w:t>
      </w:r>
      <w:r w:rsidR="00E806C0">
        <w:rPr>
          <w:rFonts w:asciiTheme="minorHAnsi" w:hAnsiTheme="minorHAnsi" w:cstheme="minorHAnsi"/>
          <w:sz w:val="22"/>
          <w:szCs w:val="22"/>
          <w:lang w:val="en-GB"/>
        </w:rPr>
        <w:t>4</w:t>
      </w:r>
      <w:r w:rsidRPr="002B2630">
        <w:rPr>
          <w:rFonts w:asciiTheme="minorHAnsi" w:hAnsiTheme="minorHAnsi" w:cstheme="minorHAnsi"/>
          <w:sz w:val="22"/>
          <w:szCs w:val="22"/>
          <w:lang w:val="en-GB"/>
        </w:rPr>
        <w:t xml:space="preserve"> presents the empirical results. Finally, Section </w:t>
      </w:r>
      <w:r w:rsidR="00E806C0">
        <w:rPr>
          <w:rFonts w:asciiTheme="minorHAnsi" w:hAnsiTheme="minorHAnsi" w:cstheme="minorHAnsi"/>
          <w:sz w:val="22"/>
          <w:szCs w:val="22"/>
          <w:lang w:val="en-GB"/>
        </w:rPr>
        <w:t>5</w:t>
      </w:r>
      <w:r w:rsidRPr="002B2630">
        <w:rPr>
          <w:rFonts w:asciiTheme="minorHAnsi" w:hAnsiTheme="minorHAnsi" w:cstheme="minorHAnsi"/>
          <w:sz w:val="22"/>
          <w:szCs w:val="22"/>
          <w:lang w:val="en-GB"/>
        </w:rPr>
        <w:t xml:space="preserve"> provides the conclusions.</w:t>
      </w:r>
    </w:p>
    <w:p w:rsidR="00871120" w:rsidRPr="00DE5AC4" w:rsidRDefault="00DE5AC4" w:rsidP="00DE5AC4">
      <w:pPr>
        <w:pStyle w:val="Prrafodelista"/>
        <w:numPr>
          <w:ilvl w:val="0"/>
          <w:numId w:val="4"/>
        </w:numPr>
        <w:spacing w:before="120" w:after="240" w:line="480" w:lineRule="auto"/>
        <w:jc w:val="both"/>
        <w:rPr>
          <w:rFonts w:asciiTheme="minorHAnsi" w:hAnsiTheme="minorHAnsi" w:cstheme="minorHAnsi"/>
          <w:b/>
          <w:sz w:val="22"/>
          <w:szCs w:val="22"/>
          <w:lang w:val="en-GB"/>
        </w:rPr>
      </w:pPr>
      <w:r w:rsidRPr="00DE5AC4">
        <w:rPr>
          <w:rFonts w:asciiTheme="minorHAnsi" w:hAnsiTheme="minorHAnsi" w:cstheme="minorHAnsi"/>
          <w:b/>
          <w:sz w:val="22"/>
          <w:szCs w:val="22"/>
          <w:lang w:val="en-GB"/>
        </w:rPr>
        <w:t>THEORETICAL BACKGROUND AND HYPOTHESES</w:t>
      </w:r>
    </w:p>
    <w:p w:rsidR="00871120" w:rsidRPr="002B2630"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 xml:space="preserve">Access to external financing will depend partly on the legal and institutional features of the country, seeing as these provide the mechanisms for monitoring and enforcing financial contracts. </w:t>
      </w:r>
      <w:r w:rsidR="00C2787E">
        <w:rPr>
          <w:rFonts w:asciiTheme="minorHAnsi" w:hAnsiTheme="minorHAnsi" w:cstheme="minorHAnsi"/>
          <w:sz w:val="22"/>
          <w:szCs w:val="22"/>
          <w:lang w:val="en-GB"/>
        </w:rPr>
        <w:t>E</w:t>
      </w:r>
      <w:r w:rsidRPr="002B2630">
        <w:rPr>
          <w:rFonts w:asciiTheme="minorHAnsi" w:hAnsiTheme="minorHAnsi" w:cstheme="minorHAnsi"/>
          <w:sz w:val="22"/>
          <w:szCs w:val="22"/>
          <w:lang w:val="en-GB"/>
        </w:rPr>
        <w:t xml:space="preserve">mpirical papers including legal and institutional variables in the analysis provide clear evidence regarding the relevance of these country variables </w:t>
      </w:r>
      <w:r w:rsidR="00A0681A">
        <w:rPr>
          <w:rFonts w:asciiTheme="minorHAnsi" w:hAnsiTheme="minorHAnsi" w:cstheme="minorHAnsi"/>
          <w:sz w:val="22"/>
          <w:szCs w:val="22"/>
          <w:lang w:val="en-GB"/>
        </w:rPr>
        <w:t>with respect to</w:t>
      </w:r>
      <w:r w:rsidR="00A0681A" w:rsidRPr="002B2630">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the use of debt</w:t>
      </w:r>
      <w:r w:rsidR="00C2787E">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Giannetti</w:t>
      </w:r>
      <w:r w:rsidR="00C2787E">
        <w:rPr>
          <w:rFonts w:asciiTheme="minorHAnsi" w:hAnsiTheme="minorHAnsi" w:cstheme="minorHAnsi"/>
          <w:sz w:val="22"/>
          <w:szCs w:val="22"/>
          <w:lang w:val="en-GB"/>
        </w:rPr>
        <w:t>,</w:t>
      </w:r>
      <w:r w:rsidRPr="002B2630">
        <w:rPr>
          <w:rFonts w:asciiTheme="minorHAnsi" w:hAnsiTheme="minorHAnsi" w:cstheme="minorHAnsi"/>
          <w:sz w:val="22"/>
          <w:szCs w:val="22"/>
          <w:lang w:val="en-GB"/>
        </w:rPr>
        <w:t xml:space="preserve"> 2003</w:t>
      </w:r>
      <w:r w:rsidR="00C2787E">
        <w:rPr>
          <w:rFonts w:asciiTheme="minorHAnsi" w:hAnsiTheme="minorHAnsi" w:cstheme="minorHAnsi"/>
          <w:sz w:val="22"/>
          <w:szCs w:val="22"/>
          <w:lang w:val="en-GB"/>
        </w:rPr>
        <w:t xml:space="preserve">; Qian and Strahan, 2007; González and González, 2008; Bae and Goyal, 2009; Fan </w:t>
      </w:r>
      <w:r w:rsidR="00C2787E" w:rsidRPr="00C2787E">
        <w:rPr>
          <w:rFonts w:asciiTheme="minorHAnsi" w:hAnsiTheme="minorHAnsi" w:cstheme="minorHAnsi"/>
          <w:i/>
          <w:sz w:val="22"/>
          <w:szCs w:val="22"/>
          <w:lang w:val="en-GB"/>
        </w:rPr>
        <w:t>et al</w:t>
      </w:r>
      <w:r w:rsidR="00C2787E">
        <w:rPr>
          <w:rFonts w:asciiTheme="minorHAnsi" w:hAnsiTheme="minorHAnsi" w:cstheme="minorHAnsi"/>
          <w:sz w:val="22"/>
          <w:szCs w:val="22"/>
          <w:lang w:val="en-GB"/>
        </w:rPr>
        <w:t xml:space="preserve">., 2012). </w:t>
      </w:r>
      <w:r w:rsidRPr="002B2630">
        <w:rPr>
          <w:rFonts w:asciiTheme="minorHAnsi" w:hAnsiTheme="minorHAnsi" w:cstheme="minorHAnsi"/>
          <w:sz w:val="22"/>
          <w:szCs w:val="22"/>
          <w:lang w:val="en-GB"/>
        </w:rPr>
        <w:t xml:space="preserve">We know less, however, about the effect of legal and institutional features on debt maturity, although </w:t>
      </w:r>
      <w:r>
        <w:rPr>
          <w:rFonts w:asciiTheme="minorHAnsi" w:hAnsiTheme="minorHAnsi" w:cstheme="minorHAnsi"/>
          <w:sz w:val="22"/>
          <w:szCs w:val="22"/>
          <w:lang w:val="en-GB"/>
        </w:rPr>
        <w:t xml:space="preserve">important differences can be observed </w:t>
      </w:r>
      <w:r w:rsidRPr="002B2630">
        <w:rPr>
          <w:rFonts w:asciiTheme="minorHAnsi" w:hAnsiTheme="minorHAnsi" w:cstheme="minorHAnsi"/>
          <w:sz w:val="22"/>
          <w:szCs w:val="22"/>
          <w:lang w:val="en-GB"/>
        </w:rPr>
        <w:t xml:space="preserve">in debt maturity among countries. Legal and institutional features influence debt structure </w:t>
      </w:r>
      <w:r>
        <w:rPr>
          <w:rFonts w:asciiTheme="minorHAnsi" w:hAnsiTheme="minorHAnsi" w:cstheme="minorHAnsi"/>
          <w:sz w:val="22"/>
          <w:szCs w:val="22"/>
          <w:lang w:val="en-GB"/>
        </w:rPr>
        <w:t>because</w:t>
      </w:r>
      <w:r w:rsidRPr="002B2630" w:rsidDel="001072C0">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 xml:space="preserve">lenders </w:t>
      </w:r>
      <w:r>
        <w:rPr>
          <w:rFonts w:asciiTheme="minorHAnsi" w:hAnsiTheme="minorHAnsi" w:cstheme="minorHAnsi"/>
          <w:sz w:val="22"/>
          <w:szCs w:val="22"/>
          <w:lang w:val="en-GB"/>
        </w:rPr>
        <w:t>need</w:t>
      </w:r>
      <w:r w:rsidRPr="002B2630">
        <w:rPr>
          <w:rFonts w:asciiTheme="minorHAnsi" w:hAnsiTheme="minorHAnsi" w:cstheme="minorHAnsi"/>
          <w:sz w:val="22"/>
          <w:szCs w:val="22"/>
          <w:lang w:val="en-GB"/>
        </w:rPr>
        <w:t xml:space="preserve"> to assess not only the credit quality of borrowers, but also </w:t>
      </w:r>
      <w:r w:rsidR="0083248D">
        <w:rPr>
          <w:rFonts w:asciiTheme="minorHAnsi" w:hAnsiTheme="minorHAnsi" w:cstheme="minorHAnsi"/>
          <w:sz w:val="22"/>
          <w:szCs w:val="22"/>
          <w:lang w:val="en-GB"/>
        </w:rPr>
        <w:t xml:space="preserve">the inherent risks of </w:t>
      </w:r>
      <w:r w:rsidRPr="002B2630">
        <w:rPr>
          <w:rFonts w:asciiTheme="minorHAnsi" w:hAnsiTheme="minorHAnsi" w:cstheme="minorHAnsi"/>
          <w:sz w:val="22"/>
          <w:szCs w:val="22"/>
          <w:lang w:val="en-GB"/>
        </w:rPr>
        <w:t>the legal and institutional system.</w:t>
      </w:r>
    </w:p>
    <w:p w:rsidR="00871120" w:rsidRPr="002B2630"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 xml:space="preserve">Debt maturity may influence the possibility for firms to defraud creditors. Shorter maturities reduce the period </w:t>
      </w:r>
      <w:r>
        <w:rPr>
          <w:rFonts w:asciiTheme="minorHAnsi" w:hAnsiTheme="minorHAnsi" w:cstheme="minorHAnsi"/>
          <w:sz w:val="22"/>
          <w:szCs w:val="22"/>
          <w:lang w:val="en-GB"/>
        </w:rPr>
        <w:t>during</w:t>
      </w:r>
      <w:r w:rsidRPr="002B2630">
        <w:rPr>
          <w:rFonts w:asciiTheme="minorHAnsi" w:hAnsiTheme="minorHAnsi" w:cstheme="minorHAnsi"/>
          <w:sz w:val="22"/>
          <w:szCs w:val="22"/>
          <w:lang w:val="en-GB"/>
        </w:rPr>
        <w:t xml:space="preserve"> which an opportunistic firm can exploit its creditors without </w:t>
      </w:r>
      <w:r w:rsidR="00A0681A">
        <w:rPr>
          <w:rFonts w:asciiTheme="minorHAnsi" w:hAnsiTheme="minorHAnsi" w:cstheme="minorHAnsi"/>
          <w:sz w:val="22"/>
          <w:szCs w:val="22"/>
          <w:lang w:val="en-GB"/>
        </w:rPr>
        <w:t>falling</w:t>
      </w:r>
      <w:r w:rsidR="00A0681A" w:rsidRPr="002B2630">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 xml:space="preserve">in default (Diamond, 1991, 1993; Rajan, 1992). </w:t>
      </w:r>
      <w:r w:rsidR="001A06DC" w:rsidRPr="002B2630">
        <w:rPr>
          <w:rFonts w:asciiTheme="minorHAnsi" w:hAnsiTheme="minorHAnsi" w:cstheme="minorHAnsi"/>
          <w:sz w:val="22"/>
          <w:szCs w:val="22"/>
          <w:lang w:val="en-GB"/>
        </w:rPr>
        <w:t xml:space="preserve">The use of financial instruments that allow insiders less discretion will be more common in poor contracting environments. </w:t>
      </w:r>
      <w:r w:rsidRPr="002B2630">
        <w:rPr>
          <w:rFonts w:asciiTheme="minorHAnsi" w:hAnsiTheme="minorHAnsi" w:cstheme="minorHAnsi"/>
          <w:sz w:val="22"/>
          <w:szCs w:val="22"/>
          <w:lang w:val="en-GB"/>
        </w:rPr>
        <w:t xml:space="preserve">In this context, a positive relationship can be expected between the efficiency of </w:t>
      </w:r>
      <w:r w:rsidR="00A0681A">
        <w:rPr>
          <w:rFonts w:asciiTheme="minorHAnsi" w:hAnsiTheme="minorHAnsi" w:cstheme="minorHAnsi"/>
          <w:sz w:val="22"/>
          <w:szCs w:val="22"/>
          <w:lang w:val="en-GB"/>
        </w:rPr>
        <w:t>the</w:t>
      </w:r>
      <w:r w:rsidR="00A0681A" w:rsidRPr="002B2630">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 xml:space="preserve">legal system </w:t>
      </w:r>
      <w:r w:rsidR="001A06DC">
        <w:rPr>
          <w:rFonts w:asciiTheme="minorHAnsi" w:hAnsiTheme="minorHAnsi" w:cstheme="minorHAnsi"/>
          <w:sz w:val="22"/>
          <w:szCs w:val="22"/>
          <w:lang w:val="en-GB"/>
        </w:rPr>
        <w:t xml:space="preserve">and the protection of property rights </w:t>
      </w:r>
      <w:r w:rsidRPr="002B2630">
        <w:rPr>
          <w:rFonts w:asciiTheme="minorHAnsi" w:hAnsiTheme="minorHAnsi" w:cstheme="minorHAnsi"/>
          <w:sz w:val="22"/>
          <w:szCs w:val="22"/>
          <w:lang w:val="en-GB"/>
        </w:rPr>
        <w:t xml:space="preserve">and the percentage of long-term debt. </w:t>
      </w:r>
      <w:r w:rsidR="0082014E" w:rsidRPr="0016556A">
        <w:rPr>
          <w:rFonts w:asciiTheme="minorHAnsi" w:hAnsiTheme="minorHAnsi" w:cstheme="minorHAnsi"/>
          <w:sz w:val="22"/>
          <w:szCs w:val="22"/>
          <w:lang w:val="en-GB"/>
        </w:rPr>
        <w:t xml:space="preserve">Using a proxy of the </w:t>
      </w:r>
      <w:r w:rsidR="0082014E" w:rsidRPr="0016556A">
        <w:rPr>
          <w:rFonts w:asciiTheme="minorHAnsi" w:hAnsiTheme="minorHAnsi" w:cstheme="minorHAnsi"/>
          <w:sz w:val="22"/>
          <w:szCs w:val="22"/>
          <w:lang w:val="en-GB"/>
        </w:rPr>
        <w:lastRenderedPageBreak/>
        <w:t xml:space="preserve">country’s corruption, </w:t>
      </w:r>
      <w:r w:rsidR="00846E39" w:rsidRPr="0016556A">
        <w:rPr>
          <w:rFonts w:asciiTheme="minorHAnsi" w:hAnsiTheme="minorHAnsi" w:cstheme="minorHAnsi"/>
          <w:sz w:val="22"/>
          <w:szCs w:val="22"/>
          <w:lang w:val="en-GB"/>
        </w:rPr>
        <w:t xml:space="preserve">Fan </w:t>
      </w:r>
      <w:r w:rsidR="00846E39" w:rsidRPr="0016556A">
        <w:rPr>
          <w:rFonts w:asciiTheme="minorHAnsi" w:hAnsiTheme="minorHAnsi" w:cstheme="minorHAnsi"/>
          <w:i/>
          <w:sz w:val="22"/>
          <w:szCs w:val="22"/>
          <w:lang w:val="en-GB"/>
        </w:rPr>
        <w:t>et al</w:t>
      </w:r>
      <w:r w:rsidR="00846E39" w:rsidRPr="0016556A">
        <w:rPr>
          <w:rFonts w:asciiTheme="minorHAnsi" w:hAnsiTheme="minorHAnsi" w:cstheme="minorHAnsi"/>
          <w:sz w:val="22"/>
          <w:szCs w:val="22"/>
          <w:lang w:val="en-GB"/>
        </w:rPr>
        <w:t>. (2012) show that weaker legal systems are associated with shorter maturity debt contracts</w:t>
      </w:r>
      <w:r w:rsidR="0082014E" w:rsidRPr="0016556A">
        <w:rPr>
          <w:rFonts w:asciiTheme="minorHAnsi" w:hAnsiTheme="minorHAnsi" w:cstheme="minorHAnsi"/>
          <w:sz w:val="22"/>
          <w:szCs w:val="22"/>
          <w:lang w:val="en-GB"/>
        </w:rPr>
        <w:t>,</w:t>
      </w:r>
      <w:r w:rsidR="00846E39" w:rsidRPr="0016556A">
        <w:rPr>
          <w:rFonts w:asciiTheme="minorHAnsi" w:hAnsiTheme="minorHAnsi" w:cstheme="minorHAnsi"/>
          <w:sz w:val="22"/>
          <w:szCs w:val="22"/>
          <w:lang w:val="en-GB"/>
        </w:rPr>
        <w:t xml:space="preserve"> as short-term debt allows insiders less discretion.</w:t>
      </w:r>
    </w:p>
    <w:p w:rsidR="00FA2A85" w:rsidRDefault="00FA2A85" w:rsidP="00871120">
      <w:pPr>
        <w:spacing w:before="120" w:after="240" w:line="480" w:lineRule="auto"/>
        <w:jc w:val="both"/>
        <w:rPr>
          <w:rFonts w:asciiTheme="minorHAnsi" w:hAnsiTheme="minorHAnsi" w:cstheme="minorHAnsi"/>
          <w:sz w:val="22"/>
          <w:szCs w:val="22"/>
          <w:lang w:val="en-GB"/>
        </w:rPr>
      </w:pPr>
      <w:r w:rsidRPr="00FA2A85">
        <w:rPr>
          <w:rFonts w:asciiTheme="minorHAnsi" w:hAnsiTheme="minorHAnsi" w:cstheme="minorHAnsi"/>
          <w:sz w:val="22"/>
          <w:szCs w:val="22"/>
          <w:lang w:val="en-GB"/>
        </w:rPr>
        <w:t xml:space="preserve">Several papers have shown that the protection of creditors’ rights has a significant influence on the amount </w:t>
      </w:r>
      <w:r w:rsidR="00CE4B7B">
        <w:rPr>
          <w:rFonts w:asciiTheme="minorHAnsi" w:hAnsiTheme="minorHAnsi" w:cstheme="minorHAnsi"/>
          <w:sz w:val="22"/>
          <w:szCs w:val="22"/>
          <w:lang w:val="en-GB"/>
        </w:rPr>
        <w:t>and the cost of debt</w:t>
      </w:r>
      <w:r w:rsidR="002671B4">
        <w:rPr>
          <w:rFonts w:asciiTheme="minorHAnsi" w:hAnsiTheme="minorHAnsi" w:cstheme="minorHAnsi"/>
          <w:sz w:val="22"/>
          <w:szCs w:val="22"/>
          <w:lang w:val="en-GB"/>
        </w:rPr>
        <w:t xml:space="preserve"> </w:t>
      </w:r>
      <w:r w:rsidRPr="00FA2A85">
        <w:rPr>
          <w:rFonts w:asciiTheme="minorHAnsi" w:hAnsiTheme="minorHAnsi" w:cstheme="minorHAnsi"/>
          <w:sz w:val="22"/>
          <w:szCs w:val="22"/>
          <w:lang w:val="en-GB"/>
        </w:rPr>
        <w:t>(Giannetti, 2003</w:t>
      </w:r>
      <w:r w:rsidR="00CE4B7B">
        <w:rPr>
          <w:rFonts w:asciiTheme="minorHAnsi" w:hAnsiTheme="minorHAnsi" w:cstheme="minorHAnsi"/>
          <w:sz w:val="22"/>
          <w:szCs w:val="22"/>
          <w:lang w:val="en-GB"/>
        </w:rPr>
        <w:t>; Qian and Strahan, 2007</w:t>
      </w:r>
      <w:r w:rsidRPr="00FA2A85">
        <w:rPr>
          <w:rFonts w:asciiTheme="minorHAnsi" w:hAnsiTheme="minorHAnsi" w:cstheme="minorHAnsi"/>
          <w:sz w:val="22"/>
          <w:szCs w:val="22"/>
          <w:lang w:val="en-GB"/>
        </w:rPr>
        <w:t>). When creditors’ rights are better protected</w:t>
      </w:r>
      <w:r w:rsidR="00A0681A">
        <w:rPr>
          <w:rFonts w:asciiTheme="minorHAnsi" w:hAnsiTheme="minorHAnsi" w:cstheme="minorHAnsi"/>
          <w:sz w:val="22"/>
          <w:szCs w:val="22"/>
          <w:lang w:val="en-GB"/>
        </w:rPr>
        <w:t>,</w:t>
      </w:r>
      <w:r w:rsidRPr="00FA2A85">
        <w:rPr>
          <w:rFonts w:asciiTheme="minorHAnsi" w:hAnsiTheme="minorHAnsi" w:cstheme="minorHAnsi"/>
          <w:sz w:val="22"/>
          <w:szCs w:val="22"/>
          <w:lang w:val="en-GB"/>
        </w:rPr>
        <w:t xml:space="preserve"> they will be more likely to force repayment and gain control in the event of bankruptcy. This consequently reduces risk and will exert an ex ante influence on the terms of the credit. </w:t>
      </w:r>
      <w:r w:rsidR="001532BB">
        <w:rPr>
          <w:rFonts w:asciiTheme="minorHAnsi" w:hAnsiTheme="minorHAnsi" w:cstheme="minorHAnsi"/>
          <w:sz w:val="22"/>
          <w:szCs w:val="22"/>
          <w:lang w:val="en-GB"/>
        </w:rPr>
        <w:t>I</w:t>
      </w:r>
      <w:r w:rsidRPr="00FA2A85">
        <w:rPr>
          <w:rFonts w:asciiTheme="minorHAnsi" w:hAnsiTheme="minorHAnsi" w:cstheme="minorHAnsi"/>
          <w:sz w:val="22"/>
          <w:szCs w:val="22"/>
          <w:lang w:val="en-GB"/>
        </w:rPr>
        <w:t xml:space="preserve">t may </w:t>
      </w:r>
      <w:r w:rsidR="001532BB">
        <w:rPr>
          <w:rFonts w:asciiTheme="minorHAnsi" w:hAnsiTheme="minorHAnsi" w:cstheme="minorHAnsi"/>
          <w:sz w:val="22"/>
          <w:szCs w:val="22"/>
          <w:lang w:val="en-GB"/>
        </w:rPr>
        <w:t>a</w:t>
      </w:r>
      <w:r w:rsidR="001532BB" w:rsidRPr="00FA2A85">
        <w:rPr>
          <w:rFonts w:asciiTheme="minorHAnsi" w:hAnsiTheme="minorHAnsi" w:cstheme="minorHAnsi"/>
          <w:sz w:val="22"/>
          <w:szCs w:val="22"/>
          <w:lang w:val="en-GB"/>
        </w:rPr>
        <w:t xml:space="preserve">dditionally </w:t>
      </w:r>
      <w:r w:rsidRPr="00FA2A85">
        <w:rPr>
          <w:rFonts w:asciiTheme="minorHAnsi" w:hAnsiTheme="minorHAnsi" w:cstheme="minorHAnsi"/>
          <w:sz w:val="22"/>
          <w:szCs w:val="22"/>
          <w:lang w:val="en-GB"/>
        </w:rPr>
        <w:t>reduce moral hazard problems, as it entails reductions in the incentives for borrowers to engage in excessive risk taking and asset substitution. Consequently, we would expect a direct relation between the protection of creditor righ</w:t>
      </w:r>
      <w:r>
        <w:rPr>
          <w:rFonts w:asciiTheme="minorHAnsi" w:hAnsiTheme="minorHAnsi" w:cstheme="minorHAnsi"/>
          <w:sz w:val="22"/>
          <w:szCs w:val="22"/>
          <w:lang w:val="en-GB"/>
        </w:rPr>
        <w:t>ts and corporate debt maturity.</w:t>
      </w:r>
      <w:r w:rsidR="00846E39">
        <w:rPr>
          <w:rFonts w:asciiTheme="minorHAnsi" w:hAnsiTheme="minorHAnsi" w:cstheme="minorHAnsi"/>
          <w:sz w:val="22"/>
          <w:szCs w:val="22"/>
          <w:lang w:val="en-GB"/>
        </w:rPr>
        <w:t xml:space="preserve"> </w:t>
      </w:r>
      <w:r w:rsidR="00846E39" w:rsidRPr="0016556A">
        <w:rPr>
          <w:rFonts w:asciiTheme="minorHAnsi" w:hAnsiTheme="minorHAnsi" w:cstheme="minorHAnsi"/>
          <w:sz w:val="22"/>
          <w:szCs w:val="22"/>
          <w:lang w:val="en-GB"/>
        </w:rPr>
        <w:t xml:space="preserve">Fan </w:t>
      </w:r>
      <w:r w:rsidR="00846E39" w:rsidRPr="0016556A">
        <w:rPr>
          <w:rFonts w:asciiTheme="minorHAnsi" w:hAnsiTheme="minorHAnsi" w:cstheme="minorHAnsi"/>
          <w:i/>
          <w:sz w:val="22"/>
          <w:szCs w:val="22"/>
          <w:lang w:val="en-GB"/>
        </w:rPr>
        <w:t>et al</w:t>
      </w:r>
      <w:r w:rsidR="00846E39" w:rsidRPr="0016556A">
        <w:rPr>
          <w:rFonts w:asciiTheme="minorHAnsi" w:hAnsiTheme="minorHAnsi" w:cstheme="minorHAnsi"/>
          <w:sz w:val="22"/>
          <w:szCs w:val="22"/>
          <w:lang w:val="en-GB"/>
        </w:rPr>
        <w:t xml:space="preserve">. (2012) reveal that the existence of an explicit bankruptcy code is related </w:t>
      </w:r>
      <w:r w:rsidR="001532BB">
        <w:rPr>
          <w:rFonts w:asciiTheme="minorHAnsi" w:hAnsiTheme="minorHAnsi" w:cstheme="minorHAnsi"/>
          <w:sz w:val="22"/>
          <w:szCs w:val="22"/>
          <w:lang w:val="en-GB"/>
        </w:rPr>
        <w:t>to</w:t>
      </w:r>
      <w:r w:rsidR="001532BB" w:rsidRPr="0016556A">
        <w:rPr>
          <w:rFonts w:asciiTheme="minorHAnsi" w:hAnsiTheme="minorHAnsi" w:cstheme="minorHAnsi"/>
          <w:sz w:val="22"/>
          <w:szCs w:val="22"/>
          <w:lang w:val="en-GB"/>
        </w:rPr>
        <w:t xml:space="preserve"> </w:t>
      </w:r>
      <w:r w:rsidR="00846E39" w:rsidRPr="0016556A">
        <w:rPr>
          <w:rFonts w:asciiTheme="minorHAnsi" w:hAnsiTheme="minorHAnsi" w:cstheme="minorHAnsi"/>
          <w:sz w:val="22"/>
          <w:szCs w:val="22"/>
          <w:lang w:val="en-GB"/>
        </w:rPr>
        <w:t>greater use of long-term debt</w:t>
      </w:r>
      <w:r w:rsidR="00846E39">
        <w:rPr>
          <w:rFonts w:asciiTheme="minorHAnsi" w:hAnsiTheme="minorHAnsi" w:cstheme="minorHAnsi"/>
          <w:sz w:val="22"/>
          <w:szCs w:val="22"/>
          <w:lang w:val="en-GB"/>
        </w:rPr>
        <w:t>.</w:t>
      </w:r>
    </w:p>
    <w:p w:rsidR="00871120"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 xml:space="preserve">Financial intermediaries directly influence corporate financial structure. Demirgüç-Kunt and Maksimovic (1999) also stress that short-term debt allows banks to use their advantages in monitoring borrowers. Short-term debt forces lenders to monitor corporate performance more frequently and enables the </w:t>
      </w:r>
      <w:r>
        <w:rPr>
          <w:rFonts w:asciiTheme="minorHAnsi" w:hAnsiTheme="minorHAnsi" w:cstheme="minorHAnsi"/>
          <w:sz w:val="22"/>
          <w:szCs w:val="22"/>
          <w:lang w:val="en-GB"/>
        </w:rPr>
        <w:t xml:space="preserve">bank </w:t>
      </w:r>
      <w:r w:rsidRPr="002B2630">
        <w:rPr>
          <w:rFonts w:asciiTheme="minorHAnsi" w:hAnsiTheme="minorHAnsi" w:cstheme="minorHAnsi"/>
          <w:sz w:val="22"/>
          <w:szCs w:val="22"/>
          <w:lang w:val="en-GB"/>
        </w:rPr>
        <w:t xml:space="preserve">to change the terms of contract or not to renew the loan (Diamond, 1991; Rajan, 1992). </w:t>
      </w:r>
      <w:r w:rsidR="008F6C22" w:rsidRPr="0016556A">
        <w:rPr>
          <w:rFonts w:asciiTheme="minorHAnsi" w:hAnsiTheme="minorHAnsi" w:cstheme="minorHAnsi"/>
          <w:sz w:val="22"/>
          <w:szCs w:val="22"/>
          <w:lang w:val="en-GB"/>
        </w:rPr>
        <w:t>In this context</w:t>
      </w:r>
      <w:r w:rsidR="008F6C22">
        <w:rPr>
          <w:rFonts w:asciiTheme="minorHAnsi" w:hAnsiTheme="minorHAnsi" w:cstheme="minorHAnsi"/>
          <w:sz w:val="22"/>
          <w:szCs w:val="22"/>
          <w:lang w:val="en-GB"/>
        </w:rPr>
        <w:t>,</w:t>
      </w:r>
      <w:r w:rsidR="008F6C22" w:rsidRPr="008F6C22">
        <w:rPr>
          <w:lang w:val="en-US"/>
        </w:rPr>
        <w:t xml:space="preserve"> </w:t>
      </w:r>
      <w:r w:rsidR="008F6C22" w:rsidRPr="008F6C22">
        <w:rPr>
          <w:rFonts w:asciiTheme="minorHAnsi" w:hAnsiTheme="minorHAnsi" w:cstheme="minorHAnsi"/>
          <w:sz w:val="22"/>
          <w:szCs w:val="22"/>
          <w:lang w:val="en-GB"/>
        </w:rPr>
        <w:t xml:space="preserve">Fan </w:t>
      </w:r>
      <w:r w:rsidR="008F6C22" w:rsidRPr="0016556A">
        <w:rPr>
          <w:rFonts w:asciiTheme="minorHAnsi" w:hAnsiTheme="minorHAnsi" w:cstheme="minorHAnsi"/>
          <w:i/>
          <w:sz w:val="22"/>
          <w:szCs w:val="22"/>
          <w:lang w:val="en-GB"/>
        </w:rPr>
        <w:t>et al</w:t>
      </w:r>
      <w:r w:rsidR="008F6C22" w:rsidRPr="008F6C22">
        <w:rPr>
          <w:rFonts w:asciiTheme="minorHAnsi" w:hAnsiTheme="minorHAnsi" w:cstheme="minorHAnsi"/>
          <w:sz w:val="22"/>
          <w:szCs w:val="22"/>
          <w:lang w:val="en-GB"/>
        </w:rPr>
        <w:t xml:space="preserve">. (2012) report a negative effect of the weight of banks in the economy on debt maturity as a consequence of bank preferences for short-term debt. </w:t>
      </w:r>
      <w:r w:rsidR="008F6C22" w:rsidRPr="0016556A">
        <w:rPr>
          <w:rFonts w:asciiTheme="minorHAnsi" w:hAnsiTheme="minorHAnsi" w:cstheme="minorHAnsi"/>
          <w:sz w:val="22"/>
          <w:szCs w:val="22"/>
          <w:lang w:val="en-GB"/>
        </w:rPr>
        <w:t xml:space="preserve">We </w:t>
      </w:r>
      <w:r w:rsidR="001532BB">
        <w:rPr>
          <w:rFonts w:asciiTheme="minorHAnsi" w:hAnsiTheme="minorHAnsi" w:cstheme="minorHAnsi"/>
          <w:sz w:val="22"/>
          <w:szCs w:val="22"/>
          <w:lang w:val="en-GB"/>
        </w:rPr>
        <w:t>posit</w:t>
      </w:r>
      <w:r w:rsidR="001532BB" w:rsidRPr="0016556A">
        <w:rPr>
          <w:rFonts w:asciiTheme="minorHAnsi" w:hAnsiTheme="minorHAnsi" w:cstheme="minorHAnsi"/>
          <w:sz w:val="22"/>
          <w:szCs w:val="22"/>
          <w:lang w:val="en-GB"/>
        </w:rPr>
        <w:t xml:space="preserve"> </w:t>
      </w:r>
      <w:r w:rsidR="008F6C22" w:rsidRPr="0016556A">
        <w:rPr>
          <w:rFonts w:asciiTheme="minorHAnsi" w:hAnsiTheme="minorHAnsi" w:cstheme="minorHAnsi"/>
          <w:sz w:val="22"/>
          <w:szCs w:val="22"/>
          <w:lang w:val="en-GB"/>
        </w:rPr>
        <w:t>that this effect will be greater in smaller firms, as l</w:t>
      </w:r>
      <w:r w:rsidRPr="0016556A">
        <w:rPr>
          <w:rFonts w:asciiTheme="minorHAnsi" w:hAnsiTheme="minorHAnsi" w:cstheme="minorHAnsi"/>
          <w:sz w:val="22"/>
          <w:szCs w:val="22"/>
          <w:lang w:val="en-GB"/>
        </w:rPr>
        <w:t>arge firms</w:t>
      </w:r>
      <w:r w:rsidRPr="002B2630">
        <w:rPr>
          <w:rFonts w:asciiTheme="minorHAnsi" w:hAnsiTheme="minorHAnsi" w:cstheme="minorHAnsi"/>
          <w:sz w:val="22"/>
          <w:szCs w:val="22"/>
          <w:lang w:val="en-GB"/>
        </w:rPr>
        <w:t xml:space="preserve"> have better access to domestic and international markets and are </w:t>
      </w:r>
      <w:r>
        <w:rPr>
          <w:rFonts w:asciiTheme="minorHAnsi" w:hAnsiTheme="minorHAnsi" w:cstheme="minorHAnsi"/>
          <w:sz w:val="22"/>
          <w:szCs w:val="22"/>
          <w:lang w:val="en-GB"/>
        </w:rPr>
        <w:t xml:space="preserve">therefore </w:t>
      </w:r>
      <w:r w:rsidRPr="002B2630">
        <w:rPr>
          <w:rFonts w:asciiTheme="minorHAnsi" w:hAnsiTheme="minorHAnsi" w:cstheme="minorHAnsi"/>
          <w:sz w:val="22"/>
          <w:szCs w:val="22"/>
          <w:lang w:val="en-GB"/>
        </w:rPr>
        <w:t>usually less dependent on domestic bank credit.</w:t>
      </w:r>
      <w:r w:rsidR="008F6C22">
        <w:rPr>
          <w:rFonts w:asciiTheme="minorHAnsi" w:hAnsiTheme="minorHAnsi" w:cstheme="minorHAnsi"/>
          <w:sz w:val="22"/>
          <w:szCs w:val="22"/>
          <w:lang w:val="en-GB"/>
        </w:rPr>
        <w:t xml:space="preserve"> S</w:t>
      </w:r>
      <w:r w:rsidRPr="002B2630">
        <w:rPr>
          <w:rFonts w:asciiTheme="minorHAnsi" w:hAnsiTheme="minorHAnsi" w:cstheme="minorHAnsi"/>
          <w:sz w:val="22"/>
          <w:szCs w:val="22"/>
          <w:lang w:val="en-GB"/>
        </w:rPr>
        <w:t>maller firms will be more affected by bank preferences as they have more financing constraints</w:t>
      </w:r>
      <w:r w:rsidRPr="0016556A">
        <w:rPr>
          <w:rFonts w:asciiTheme="minorHAnsi" w:hAnsiTheme="minorHAnsi" w:cstheme="minorHAnsi"/>
          <w:sz w:val="22"/>
          <w:szCs w:val="22"/>
          <w:lang w:val="en-GB"/>
        </w:rPr>
        <w:t xml:space="preserve">. Consequently, </w:t>
      </w:r>
      <w:r w:rsidR="00F30EA2" w:rsidRPr="0016556A">
        <w:rPr>
          <w:rFonts w:asciiTheme="minorHAnsi" w:hAnsiTheme="minorHAnsi" w:cstheme="minorHAnsi"/>
          <w:sz w:val="22"/>
          <w:szCs w:val="22"/>
          <w:lang w:val="en-GB"/>
        </w:rPr>
        <w:t>our first hypothesis is stated as follows:</w:t>
      </w:r>
    </w:p>
    <w:p w:rsidR="00F30EA2" w:rsidRPr="00F30EA2" w:rsidRDefault="00F30EA2" w:rsidP="00871120">
      <w:pPr>
        <w:spacing w:before="120" w:after="240" w:line="480" w:lineRule="auto"/>
        <w:jc w:val="both"/>
        <w:rPr>
          <w:rFonts w:asciiTheme="minorHAnsi" w:hAnsiTheme="minorHAnsi" w:cstheme="minorHAnsi"/>
          <w:i/>
          <w:sz w:val="22"/>
          <w:szCs w:val="22"/>
          <w:lang w:val="en-GB"/>
        </w:rPr>
      </w:pPr>
      <w:r w:rsidRPr="0016556A">
        <w:rPr>
          <w:rFonts w:asciiTheme="minorHAnsi" w:hAnsiTheme="minorHAnsi" w:cstheme="minorHAnsi"/>
          <w:i/>
          <w:sz w:val="22"/>
          <w:szCs w:val="22"/>
          <w:lang w:val="en-GB"/>
        </w:rPr>
        <w:t xml:space="preserve">H1. The weight of banks in the financing of the private sector will have a </w:t>
      </w:r>
      <w:r w:rsidR="00385116" w:rsidRPr="0016556A">
        <w:rPr>
          <w:rFonts w:asciiTheme="minorHAnsi" w:hAnsiTheme="minorHAnsi" w:cstheme="minorHAnsi"/>
          <w:i/>
          <w:sz w:val="22"/>
          <w:szCs w:val="22"/>
          <w:lang w:val="en-GB"/>
        </w:rPr>
        <w:t xml:space="preserve">higher </w:t>
      </w:r>
      <w:r w:rsidRPr="0016556A">
        <w:rPr>
          <w:rFonts w:asciiTheme="minorHAnsi" w:hAnsiTheme="minorHAnsi" w:cstheme="minorHAnsi"/>
          <w:i/>
          <w:sz w:val="22"/>
          <w:szCs w:val="22"/>
          <w:lang w:val="en-GB"/>
        </w:rPr>
        <w:t>negative relationship with corporate debt maturity in smaller firms</w:t>
      </w:r>
      <w:r w:rsidR="00385116" w:rsidRPr="0016556A">
        <w:rPr>
          <w:rFonts w:asciiTheme="minorHAnsi" w:hAnsiTheme="minorHAnsi" w:cstheme="minorHAnsi"/>
          <w:i/>
          <w:sz w:val="22"/>
          <w:szCs w:val="22"/>
          <w:lang w:val="en-GB"/>
        </w:rPr>
        <w:t xml:space="preserve"> than in larger firms</w:t>
      </w:r>
      <w:r w:rsidRPr="0016556A">
        <w:rPr>
          <w:rFonts w:asciiTheme="minorHAnsi" w:hAnsiTheme="minorHAnsi" w:cstheme="minorHAnsi"/>
          <w:i/>
          <w:sz w:val="22"/>
          <w:szCs w:val="22"/>
          <w:lang w:val="en-GB"/>
        </w:rPr>
        <w:t>.</w:t>
      </w:r>
    </w:p>
    <w:p w:rsidR="00871120" w:rsidRPr="00B11AAD"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lastRenderedPageBreak/>
        <w:t xml:space="preserve">The banking literature suggests two potential effects of bank concentration on firm leverage. In a market without asymmetric information, there will be a negative relationship between bank concentration and </w:t>
      </w:r>
      <w:r w:rsidR="00A0681A">
        <w:rPr>
          <w:rFonts w:asciiTheme="minorHAnsi" w:hAnsiTheme="minorHAnsi" w:cstheme="minorHAnsi"/>
          <w:sz w:val="22"/>
          <w:szCs w:val="22"/>
          <w:lang w:val="en-GB"/>
        </w:rPr>
        <w:t xml:space="preserve">a </w:t>
      </w:r>
      <w:r w:rsidRPr="002B2630">
        <w:rPr>
          <w:rFonts w:asciiTheme="minorHAnsi" w:hAnsiTheme="minorHAnsi" w:cstheme="minorHAnsi"/>
          <w:sz w:val="22"/>
          <w:szCs w:val="22"/>
          <w:lang w:val="en-GB"/>
        </w:rPr>
        <w:t>firm</w:t>
      </w:r>
      <w:r w:rsidR="00F30EA2">
        <w:rPr>
          <w:rFonts w:asciiTheme="minorHAnsi" w:hAnsiTheme="minorHAnsi" w:cstheme="minorHAnsi"/>
          <w:sz w:val="22"/>
          <w:szCs w:val="22"/>
          <w:lang w:val="en-GB"/>
        </w:rPr>
        <w:t>’</w:t>
      </w:r>
      <w:r w:rsidRPr="002B2630">
        <w:rPr>
          <w:rFonts w:asciiTheme="minorHAnsi" w:hAnsiTheme="minorHAnsi" w:cstheme="minorHAnsi"/>
          <w:sz w:val="22"/>
          <w:szCs w:val="22"/>
          <w:lang w:val="en-GB"/>
        </w:rPr>
        <w:t xml:space="preserve">s leverage, </w:t>
      </w:r>
      <w:r w:rsidR="00A0681A">
        <w:rPr>
          <w:rFonts w:asciiTheme="minorHAnsi" w:hAnsiTheme="minorHAnsi" w:cstheme="minorHAnsi"/>
          <w:sz w:val="22"/>
          <w:szCs w:val="22"/>
          <w:lang w:val="en-GB"/>
        </w:rPr>
        <w:t>as</w:t>
      </w:r>
      <w:r w:rsidR="00A0681A" w:rsidRPr="002B2630">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higher bank market power results in a higher price for debt and less credit availability. However, in markets with asymmetric information, higher bank market concentration may increase the incentives of banks to invest in the acquisition of soft information by establishing close relationships with borrowers over time. This will lead to a higher availability of credit, thus reducing corporate financial constraints (Boot, 2000; Dell’Aric</w:t>
      </w:r>
      <w:r>
        <w:rPr>
          <w:rFonts w:asciiTheme="minorHAnsi" w:hAnsiTheme="minorHAnsi" w:cstheme="minorHAnsi"/>
          <w:sz w:val="22"/>
          <w:szCs w:val="22"/>
          <w:lang w:val="en-GB"/>
        </w:rPr>
        <w:t>c</w:t>
      </w:r>
      <w:r w:rsidRPr="002B2630">
        <w:rPr>
          <w:rFonts w:asciiTheme="minorHAnsi" w:hAnsiTheme="minorHAnsi" w:cstheme="minorHAnsi"/>
          <w:sz w:val="22"/>
          <w:szCs w:val="22"/>
          <w:lang w:val="en-GB"/>
        </w:rPr>
        <w:t xml:space="preserve">ia and Marquez, 2004). The importance of bank concentration </w:t>
      </w:r>
      <w:r w:rsidR="001532BB">
        <w:rPr>
          <w:rFonts w:asciiTheme="minorHAnsi" w:hAnsiTheme="minorHAnsi" w:cstheme="minorHAnsi"/>
          <w:sz w:val="22"/>
          <w:szCs w:val="22"/>
          <w:lang w:val="en-GB"/>
        </w:rPr>
        <w:t>has been</w:t>
      </w:r>
      <w:r w:rsidR="001532BB" w:rsidRPr="002B2630">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 xml:space="preserve">argued by Petersen and Rajan (1995). These authors show that US firms in less concentrated credit markets are subject to greater financial constraints. The existence of a positive relationship between bank concentration and credit availability is in line with the fact that relationship banking serves to mitigate information asymmetries </w:t>
      </w:r>
      <w:r w:rsidR="00E806C0">
        <w:rPr>
          <w:rFonts w:asciiTheme="minorHAnsi" w:hAnsiTheme="minorHAnsi" w:cstheme="minorHAnsi"/>
          <w:sz w:val="22"/>
          <w:szCs w:val="22"/>
          <w:lang w:val="en-GB"/>
        </w:rPr>
        <w:t xml:space="preserve">and agency costs </w:t>
      </w:r>
      <w:r w:rsidRPr="002B2630">
        <w:rPr>
          <w:rFonts w:asciiTheme="minorHAnsi" w:hAnsiTheme="minorHAnsi" w:cstheme="minorHAnsi"/>
          <w:sz w:val="22"/>
          <w:szCs w:val="22"/>
          <w:lang w:val="en-GB"/>
        </w:rPr>
        <w:t xml:space="preserve">between creditors and debtors. </w:t>
      </w:r>
      <w:r w:rsidR="008F6C22" w:rsidRPr="00B11AAD">
        <w:rPr>
          <w:rFonts w:asciiTheme="minorHAnsi" w:hAnsiTheme="minorHAnsi" w:cstheme="minorHAnsi"/>
          <w:sz w:val="22"/>
          <w:szCs w:val="22"/>
          <w:lang w:val="en-GB"/>
        </w:rPr>
        <w:t xml:space="preserve">La Porta </w:t>
      </w:r>
      <w:r w:rsidR="008F6C22" w:rsidRPr="00B11AAD">
        <w:rPr>
          <w:rFonts w:asciiTheme="minorHAnsi" w:hAnsiTheme="minorHAnsi" w:cstheme="minorHAnsi"/>
          <w:i/>
          <w:sz w:val="22"/>
          <w:szCs w:val="22"/>
          <w:lang w:val="en-GB"/>
        </w:rPr>
        <w:t>et al</w:t>
      </w:r>
      <w:r w:rsidR="00385116" w:rsidRPr="00B11AAD">
        <w:rPr>
          <w:rFonts w:asciiTheme="minorHAnsi" w:hAnsiTheme="minorHAnsi" w:cstheme="minorHAnsi"/>
          <w:sz w:val="22"/>
          <w:szCs w:val="22"/>
          <w:lang w:val="en-GB"/>
        </w:rPr>
        <w:t>.</w:t>
      </w:r>
      <w:r w:rsidR="008F6C22" w:rsidRPr="00B11AAD">
        <w:rPr>
          <w:rFonts w:asciiTheme="minorHAnsi" w:hAnsiTheme="minorHAnsi" w:cstheme="minorHAnsi"/>
          <w:sz w:val="22"/>
          <w:szCs w:val="22"/>
          <w:lang w:val="en-GB"/>
        </w:rPr>
        <w:t xml:space="preserve"> (1997, 1998) </w:t>
      </w:r>
      <w:r w:rsidR="0082014E" w:rsidRPr="00B11AAD">
        <w:rPr>
          <w:rFonts w:asciiTheme="minorHAnsi" w:hAnsiTheme="minorHAnsi" w:cstheme="minorHAnsi"/>
          <w:sz w:val="22"/>
          <w:szCs w:val="22"/>
          <w:lang w:val="en-GB"/>
        </w:rPr>
        <w:t xml:space="preserve">argue </w:t>
      </w:r>
      <w:r w:rsidR="008F6C22" w:rsidRPr="00B11AAD">
        <w:rPr>
          <w:rFonts w:asciiTheme="minorHAnsi" w:hAnsiTheme="minorHAnsi" w:cstheme="minorHAnsi"/>
          <w:sz w:val="22"/>
          <w:szCs w:val="22"/>
          <w:lang w:val="en-GB"/>
        </w:rPr>
        <w:t xml:space="preserve">that long-term relationships between banks and debtors may be promoted in countries where the </w:t>
      </w:r>
      <w:r w:rsidR="0082014E" w:rsidRPr="00B11AAD">
        <w:rPr>
          <w:rFonts w:asciiTheme="minorHAnsi" w:hAnsiTheme="minorHAnsi" w:cstheme="minorHAnsi"/>
          <w:sz w:val="22"/>
          <w:szCs w:val="22"/>
          <w:lang w:val="en-GB"/>
        </w:rPr>
        <w:t xml:space="preserve">protection of </w:t>
      </w:r>
      <w:r w:rsidR="008F6C22" w:rsidRPr="00B11AAD">
        <w:rPr>
          <w:rFonts w:asciiTheme="minorHAnsi" w:hAnsiTheme="minorHAnsi" w:cstheme="minorHAnsi"/>
          <w:sz w:val="22"/>
          <w:szCs w:val="22"/>
          <w:lang w:val="en-GB"/>
        </w:rPr>
        <w:t>rights is low. Bank concentration and institutional quality allow agency costs and information asymmetries</w:t>
      </w:r>
      <w:r w:rsidR="001532BB">
        <w:rPr>
          <w:rFonts w:asciiTheme="minorHAnsi" w:hAnsiTheme="minorHAnsi" w:cstheme="minorHAnsi"/>
          <w:sz w:val="22"/>
          <w:szCs w:val="22"/>
          <w:lang w:val="en-GB"/>
        </w:rPr>
        <w:t xml:space="preserve"> to be reduced</w:t>
      </w:r>
      <w:r w:rsidR="008F6C22">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Given that information asymmetries are greater in long-term debt and in small firms (Fama and Frenc</w:t>
      </w:r>
      <w:r w:rsidR="00D55369">
        <w:rPr>
          <w:rFonts w:asciiTheme="minorHAnsi" w:hAnsiTheme="minorHAnsi" w:cstheme="minorHAnsi"/>
          <w:sz w:val="22"/>
          <w:szCs w:val="22"/>
          <w:lang w:val="en-GB"/>
        </w:rPr>
        <w:t>h, 2002; Frank and Goyal, 2003</w:t>
      </w:r>
      <w:r w:rsidRPr="002B2630">
        <w:rPr>
          <w:rFonts w:asciiTheme="minorHAnsi" w:hAnsiTheme="minorHAnsi" w:cstheme="minorHAnsi"/>
          <w:sz w:val="22"/>
          <w:szCs w:val="22"/>
          <w:lang w:val="en-GB"/>
        </w:rPr>
        <w:t xml:space="preserve">), the positive effect of bank concentration on leverage could be </w:t>
      </w:r>
      <w:r>
        <w:rPr>
          <w:rFonts w:asciiTheme="minorHAnsi" w:hAnsiTheme="minorHAnsi" w:cstheme="minorHAnsi"/>
          <w:sz w:val="22"/>
          <w:szCs w:val="22"/>
          <w:lang w:val="en-GB"/>
        </w:rPr>
        <w:t>concentrated in</w:t>
      </w:r>
      <w:r w:rsidRPr="002B2630">
        <w:rPr>
          <w:rFonts w:asciiTheme="minorHAnsi" w:hAnsiTheme="minorHAnsi" w:cstheme="minorHAnsi"/>
          <w:sz w:val="22"/>
          <w:szCs w:val="22"/>
          <w:lang w:val="en-GB"/>
        </w:rPr>
        <w:t xml:space="preserve"> long-term debt</w:t>
      </w:r>
      <w:r w:rsidR="008F6C22">
        <w:rPr>
          <w:rFonts w:asciiTheme="minorHAnsi" w:hAnsiTheme="minorHAnsi" w:cstheme="minorHAnsi"/>
          <w:sz w:val="22"/>
          <w:szCs w:val="22"/>
          <w:lang w:val="en-GB"/>
        </w:rPr>
        <w:t>,</w:t>
      </w:r>
      <w:r w:rsidRPr="002B2630">
        <w:rPr>
          <w:rFonts w:asciiTheme="minorHAnsi" w:hAnsiTheme="minorHAnsi" w:cstheme="minorHAnsi"/>
          <w:sz w:val="22"/>
          <w:szCs w:val="22"/>
          <w:lang w:val="en-GB"/>
        </w:rPr>
        <w:t xml:space="preserve"> in small firms</w:t>
      </w:r>
      <w:r w:rsidR="008F6C22">
        <w:rPr>
          <w:rFonts w:asciiTheme="minorHAnsi" w:hAnsiTheme="minorHAnsi" w:cstheme="minorHAnsi"/>
          <w:sz w:val="22"/>
          <w:szCs w:val="22"/>
          <w:lang w:val="en-GB"/>
        </w:rPr>
        <w:t xml:space="preserve"> </w:t>
      </w:r>
      <w:r w:rsidR="008F6C22" w:rsidRPr="00B11AAD">
        <w:rPr>
          <w:rFonts w:asciiTheme="minorHAnsi" w:hAnsiTheme="minorHAnsi" w:cstheme="minorHAnsi"/>
          <w:sz w:val="22"/>
          <w:szCs w:val="22"/>
          <w:lang w:val="en-GB"/>
        </w:rPr>
        <w:t>and in countries with low levels of institutional quality</w:t>
      </w:r>
      <w:r w:rsidRPr="002B2630">
        <w:rPr>
          <w:rFonts w:asciiTheme="minorHAnsi" w:hAnsiTheme="minorHAnsi" w:cstheme="minorHAnsi"/>
          <w:sz w:val="22"/>
          <w:szCs w:val="22"/>
          <w:lang w:val="en-GB"/>
        </w:rPr>
        <w:t>.</w:t>
      </w:r>
      <w:r w:rsidR="00FE7A7E">
        <w:rPr>
          <w:rFonts w:asciiTheme="minorHAnsi" w:hAnsiTheme="minorHAnsi" w:cstheme="minorHAnsi"/>
          <w:sz w:val="22"/>
          <w:szCs w:val="22"/>
          <w:lang w:val="en-GB"/>
        </w:rPr>
        <w:t xml:space="preserve"> </w:t>
      </w:r>
      <w:r w:rsidR="00F30EA2" w:rsidRPr="00B11AAD">
        <w:rPr>
          <w:rFonts w:asciiTheme="minorHAnsi" w:hAnsiTheme="minorHAnsi" w:cstheme="minorHAnsi"/>
          <w:sz w:val="22"/>
          <w:szCs w:val="22"/>
          <w:lang w:val="en-GB"/>
        </w:rPr>
        <w:t>Our second hypothesis is</w:t>
      </w:r>
      <w:r w:rsidR="00A0681A" w:rsidRPr="00B11AAD">
        <w:rPr>
          <w:rFonts w:asciiTheme="minorHAnsi" w:hAnsiTheme="minorHAnsi" w:cstheme="minorHAnsi"/>
          <w:sz w:val="22"/>
          <w:szCs w:val="22"/>
          <w:lang w:val="en-GB"/>
        </w:rPr>
        <w:t xml:space="preserve"> thus</w:t>
      </w:r>
      <w:r w:rsidR="00F30EA2" w:rsidRPr="00B11AAD">
        <w:rPr>
          <w:rFonts w:asciiTheme="minorHAnsi" w:hAnsiTheme="minorHAnsi" w:cstheme="minorHAnsi"/>
          <w:sz w:val="22"/>
          <w:szCs w:val="22"/>
          <w:lang w:val="en-GB"/>
        </w:rPr>
        <w:t xml:space="preserve"> </w:t>
      </w:r>
      <w:r w:rsidR="0082014E" w:rsidRPr="00B11AAD">
        <w:rPr>
          <w:rFonts w:asciiTheme="minorHAnsi" w:hAnsiTheme="minorHAnsi" w:cstheme="minorHAnsi"/>
          <w:sz w:val="22"/>
          <w:szCs w:val="22"/>
          <w:lang w:val="en-GB"/>
        </w:rPr>
        <w:t>threefold</w:t>
      </w:r>
      <w:r w:rsidR="00F30EA2" w:rsidRPr="00B11AAD">
        <w:rPr>
          <w:rFonts w:asciiTheme="minorHAnsi" w:hAnsiTheme="minorHAnsi" w:cstheme="minorHAnsi"/>
          <w:sz w:val="22"/>
          <w:szCs w:val="22"/>
          <w:lang w:val="en-GB"/>
        </w:rPr>
        <w:t>:</w:t>
      </w:r>
    </w:p>
    <w:p w:rsidR="00F30EA2" w:rsidRPr="00B11AAD" w:rsidRDefault="00F30EA2" w:rsidP="00871120">
      <w:pPr>
        <w:spacing w:before="120" w:after="240" w:line="480" w:lineRule="auto"/>
        <w:jc w:val="both"/>
        <w:rPr>
          <w:rFonts w:asciiTheme="minorHAnsi" w:hAnsiTheme="minorHAnsi" w:cstheme="minorHAnsi"/>
          <w:i/>
          <w:sz w:val="22"/>
          <w:szCs w:val="22"/>
          <w:lang w:val="en-GB"/>
        </w:rPr>
      </w:pPr>
      <w:r w:rsidRPr="00B11AAD">
        <w:rPr>
          <w:rFonts w:asciiTheme="minorHAnsi" w:hAnsiTheme="minorHAnsi" w:cstheme="minorHAnsi"/>
          <w:i/>
          <w:sz w:val="22"/>
          <w:szCs w:val="22"/>
          <w:lang w:val="en-GB"/>
        </w:rPr>
        <w:t>H2a. Bank concentration will have a positive relationship with corporate debt maturity.</w:t>
      </w:r>
    </w:p>
    <w:p w:rsidR="008F6C22" w:rsidRPr="00B11AAD" w:rsidRDefault="008F6C22" w:rsidP="00871120">
      <w:pPr>
        <w:spacing w:before="120" w:after="240" w:line="480" w:lineRule="auto"/>
        <w:jc w:val="both"/>
        <w:rPr>
          <w:rFonts w:asciiTheme="minorHAnsi" w:hAnsiTheme="minorHAnsi" w:cstheme="minorHAnsi"/>
          <w:i/>
          <w:sz w:val="22"/>
          <w:szCs w:val="22"/>
          <w:lang w:val="en-GB"/>
        </w:rPr>
      </w:pPr>
      <w:r w:rsidRPr="00B11AAD">
        <w:rPr>
          <w:rFonts w:asciiTheme="minorHAnsi" w:hAnsiTheme="minorHAnsi" w:cstheme="minorHAnsi"/>
          <w:i/>
          <w:sz w:val="22"/>
          <w:szCs w:val="22"/>
          <w:lang w:val="en-GB"/>
        </w:rPr>
        <w:t xml:space="preserve">H2b. The positive effect of bank concentration on corporate debt maturity will be greater in countries with </w:t>
      </w:r>
      <w:r w:rsidR="00B11AAD">
        <w:rPr>
          <w:rFonts w:asciiTheme="minorHAnsi" w:hAnsiTheme="minorHAnsi" w:cstheme="minorHAnsi"/>
          <w:i/>
          <w:sz w:val="22"/>
          <w:szCs w:val="22"/>
          <w:lang w:val="en-GB"/>
        </w:rPr>
        <w:t xml:space="preserve">poor protection </w:t>
      </w:r>
      <w:r w:rsidRPr="00B11AAD">
        <w:rPr>
          <w:rFonts w:asciiTheme="minorHAnsi" w:hAnsiTheme="minorHAnsi" w:cstheme="minorHAnsi"/>
          <w:i/>
          <w:sz w:val="22"/>
          <w:szCs w:val="22"/>
          <w:lang w:val="en-GB"/>
        </w:rPr>
        <w:t>of rights.</w:t>
      </w:r>
    </w:p>
    <w:p w:rsidR="00F30EA2" w:rsidRPr="00F30EA2" w:rsidRDefault="00F30EA2" w:rsidP="00871120">
      <w:pPr>
        <w:spacing w:before="120" w:after="240" w:line="480" w:lineRule="auto"/>
        <w:jc w:val="both"/>
        <w:rPr>
          <w:rFonts w:asciiTheme="minorHAnsi" w:hAnsiTheme="minorHAnsi" w:cstheme="minorHAnsi"/>
          <w:i/>
          <w:sz w:val="22"/>
          <w:szCs w:val="22"/>
          <w:lang w:val="en-GB"/>
        </w:rPr>
      </w:pPr>
      <w:r w:rsidRPr="00B11AAD">
        <w:rPr>
          <w:rFonts w:asciiTheme="minorHAnsi" w:hAnsiTheme="minorHAnsi" w:cstheme="minorHAnsi"/>
          <w:i/>
          <w:sz w:val="22"/>
          <w:szCs w:val="22"/>
          <w:lang w:val="en-GB"/>
        </w:rPr>
        <w:t>H2</w:t>
      </w:r>
      <w:r w:rsidR="008F6C22" w:rsidRPr="00B11AAD">
        <w:rPr>
          <w:rFonts w:asciiTheme="minorHAnsi" w:hAnsiTheme="minorHAnsi" w:cstheme="minorHAnsi"/>
          <w:i/>
          <w:sz w:val="22"/>
          <w:szCs w:val="22"/>
          <w:lang w:val="en-GB"/>
        </w:rPr>
        <w:t>c</w:t>
      </w:r>
      <w:r w:rsidRPr="00B11AAD">
        <w:rPr>
          <w:rFonts w:asciiTheme="minorHAnsi" w:hAnsiTheme="minorHAnsi" w:cstheme="minorHAnsi"/>
          <w:i/>
          <w:sz w:val="22"/>
          <w:szCs w:val="22"/>
          <w:lang w:val="en-GB"/>
        </w:rPr>
        <w:t>. The positive effect of bank concentration on corporate debt maturity will be greater in smaller firms</w:t>
      </w:r>
      <w:r w:rsidR="00385116" w:rsidRPr="00B11AAD">
        <w:rPr>
          <w:rFonts w:asciiTheme="minorHAnsi" w:hAnsiTheme="minorHAnsi" w:cstheme="minorHAnsi"/>
          <w:i/>
          <w:sz w:val="22"/>
          <w:szCs w:val="22"/>
          <w:lang w:val="en-GB"/>
        </w:rPr>
        <w:t xml:space="preserve"> than in larger firms</w:t>
      </w:r>
      <w:r w:rsidRPr="00B11AAD">
        <w:rPr>
          <w:rFonts w:asciiTheme="minorHAnsi" w:hAnsiTheme="minorHAnsi" w:cstheme="minorHAnsi"/>
          <w:i/>
          <w:sz w:val="22"/>
          <w:szCs w:val="22"/>
          <w:lang w:val="en-GB"/>
        </w:rPr>
        <w:t>.</w:t>
      </w:r>
    </w:p>
    <w:p w:rsidR="00871120" w:rsidRPr="00DE5AC4" w:rsidRDefault="00DE5AC4" w:rsidP="00DE5AC4">
      <w:pPr>
        <w:pStyle w:val="Prrafodelista"/>
        <w:numPr>
          <w:ilvl w:val="0"/>
          <w:numId w:val="4"/>
        </w:numPr>
        <w:spacing w:before="120" w:after="240" w:line="480" w:lineRule="auto"/>
        <w:jc w:val="both"/>
        <w:rPr>
          <w:rFonts w:asciiTheme="minorHAnsi" w:hAnsiTheme="minorHAnsi" w:cstheme="minorHAnsi"/>
          <w:b/>
          <w:sz w:val="22"/>
          <w:szCs w:val="22"/>
          <w:lang w:val="en-GB"/>
        </w:rPr>
      </w:pPr>
      <w:r w:rsidRPr="00DE5AC4">
        <w:rPr>
          <w:rFonts w:asciiTheme="minorHAnsi" w:hAnsiTheme="minorHAnsi" w:cstheme="minorHAnsi"/>
          <w:b/>
          <w:sz w:val="22"/>
          <w:szCs w:val="22"/>
          <w:lang w:val="en-GB"/>
        </w:rPr>
        <w:lastRenderedPageBreak/>
        <w:t xml:space="preserve">DATABASES AND VARIABLES </w:t>
      </w:r>
    </w:p>
    <w:p w:rsidR="00A14B33" w:rsidRPr="00A14B33" w:rsidRDefault="001A06DC" w:rsidP="00A14B33">
      <w:pPr>
        <w:spacing w:before="120" w:after="240" w:line="480" w:lineRule="auto"/>
        <w:jc w:val="both"/>
        <w:rPr>
          <w:rFonts w:asciiTheme="minorHAnsi" w:hAnsiTheme="minorHAnsi" w:cstheme="minorHAnsi"/>
          <w:sz w:val="22"/>
          <w:szCs w:val="22"/>
          <w:lang w:val="en-GB"/>
        </w:rPr>
      </w:pPr>
      <w:r w:rsidRPr="001A06DC">
        <w:rPr>
          <w:rFonts w:asciiTheme="minorHAnsi" w:hAnsiTheme="minorHAnsi" w:cstheme="minorHAnsi"/>
          <w:sz w:val="22"/>
          <w:szCs w:val="22"/>
          <w:lang w:val="en-GB"/>
        </w:rPr>
        <w:t xml:space="preserve">Our source for firm data is the Worldscope database, </w:t>
      </w:r>
      <w:r w:rsidR="00A0681A">
        <w:rPr>
          <w:rFonts w:asciiTheme="minorHAnsi" w:hAnsiTheme="minorHAnsi" w:cstheme="minorHAnsi"/>
          <w:sz w:val="22"/>
          <w:szCs w:val="22"/>
          <w:lang w:val="en-GB"/>
        </w:rPr>
        <w:t xml:space="preserve">from which </w:t>
      </w:r>
      <w:r w:rsidR="00C2787E">
        <w:rPr>
          <w:rFonts w:asciiTheme="minorHAnsi" w:hAnsiTheme="minorHAnsi" w:cstheme="minorHAnsi"/>
          <w:sz w:val="22"/>
          <w:szCs w:val="22"/>
          <w:lang w:val="en-GB"/>
        </w:rPr>
        <w:t>f</w:t>
      </w:r>
      <w:r w:rsidRPr="001A06DC">
        <w:rPr>
          <w:rFonts w:asciiTheme="minorHAnsi" w:hAnsiTheme="minorHAnsi" w:cstheme="minorHAnsi"/>
          <w:sz w:val="22"/>
          <w:szCs w:val="22"/>
          <w:lang w:val="en-GB"/>
        </w:rPr>
        <w:t xml:space="preserve">inancial firms (SIC codes 6000 - 6999) were excluded. Our sample considers 30,727 firms and 171,892 firm-year observations for 39 countries in the period 1995-2012. The sample includes countries with different institutional environments. </w:t>
      </w:r>
      <w:r w:rsidR="00A14B33" w:rsidRPr="00E135E9">
        <w:rPr>
          <w:rFonts w:asciiTheme="minorHAnsi" w:hAnsiTheme="minorHAnsi" w:cstheme="minorHAnsi"/>
          <w:sz w:val="22"/>
          <w:szCs w:val="22"/>
          <w:lang w:val="en-GB"/>
        </w:rPr>
        <w:t xml:space="preserve">We use the following </w:t>
      </w:r>
      <w:r w:rsidR="00C2787E">
        <w:rPr>
          <w:rFonts w:asciiTheme="minorHAnsi" w:hAnsiTheme="minorHAnsi" w:cstheme="minorHAnsi"/>
          <w:sz w:val="22"/>
          <w:szCs w:val="22"/>
          <w:lang w:val="en-GB"/>
        </w:rPr>
        <w:t xml:space="preserve">baseline </w:t>
      </w:r>
      <w:r w:rsidR="00A14B33" w:rsidRPr="00E135E9">
        <w:rPr>
          <w:rFonts w:asciiTheme="minorHAnsi" w:hAnsiTheme="minorHAnsi" w:cstheme="minorHAnsi"/>
          <w:sz w:val="22"/>
          <w:szCs w:val="22"/>
          <w:lang w:val="en-GB"/>
        </w:rPr>
        <w:t>model to investigate the determinants of the debt maturity structure of firms:</w:t>
      </w:r>
    </w:p>
    <w:p w:rsidR="00A14B33" w:rsidRPr="00A14B33" w:rsidRDefault="00FA2A85" w:rsidP="00A14B33">
      <w:pPr>
        <w:spacing w:before="120" w:after="240" w:line="480" w:lineRule="auto"/>
        <w:jc w:val="both"/>
        <w:rPr>
          <w:rFonts w:asciiTheme="minorHAnsi" w:hAnsiTheme="minorHAnsi" w:cstheme="minorHAnsi"/>
          <w:sz w:val="22"/>
          <w:szCs w:val="22"/>
          <w:lang w:val="en-GB"/>
        </w:rPr>
      </w:pPr>
      <w:r w:rsidRPr="00DE5AC4">
        <w:rPr>
          <w:rFonts w:ascii="Verdana" w:hAnsi="Verdana"/>
          <w:position w:val="-78"/>
          <w:sz w:val="20"/>
          <w:szCs w:val="20"/>
          <w:lang w:val="en-US"/>
        </w:rPr>
        <w:object w:dxaOrig="772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84.75pt" o:ole="">
            <v:imagedata r:id="rId8" o:title=""/>
          </v:shape>
          <o:OLEObject Type="Embed" ProgID="Equation.3" ShapeID="_x0000_i1025" DrawAspect="Content" ObjectID="_1554193996" r:id="rId9"/>
        </w:object>
      </w:r>
      <w:r w:rsidR="00DE5AC4">
        <w:rPr>
          <w:rFonts w:ascii="Verdana" w:hAnsi="Verdana"/>
          <w:sz w:val="20"/>
          <w:szCs w:val="20"/>
          <w:lang w:val="en-US"/>
        </w:rPr>
        <w:t xml:space="preserve">  </w:t>
      </w:r>
      <w:r w:rsidR="005B0760">
        <w:rPr>
          <w:rFonts w:ascii="Verdana" w:hAnsi="Verdana"/>
          <w:sz w:val="20"/>
          <w:szCs w:val="20"/>
          <w:lang w:val="en-US"/>
        </w:rPr>
        <w:t xml:space="preserve">     </w:t>
      </w:r>
      <w:r w:rsidR="00A14B33" w:rsidRPr="00A14B33">
        <w:rPr>
          <w:rFonts w:asciiTheme="minorHAnsi" w:hAnsiTheme="minorHAnsi" w:cstheme="minorHAnsi"/>
          <w:sz w:val="22"/>
          <w:szCs w:val="22"/>
          <w:lang w:val="en-GB"/>
        </w:rPr>
        <w:t>[1]</w:t>
      </w:r>
    </w:p>
    <w:p w:rsidR="00871120" w:rsidRPr="002B2630" w:rsidRDefault="00871120" w:rsidP="00A14B33">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The dependent variable is debt maturity (DEBTMAT), defined as the percentage of the firm’s total debt that has a maturity of more than one year</w:t>
      </w:r>
      <w:r w:rsidR="00E806C0">
        <w:rPr>
          <w:rStyle w:val="Refdenotaalpie"/>
          <w:rFonts w:asciiTheme="minorHAnsi" w:hAnsiTheme="minorHAnsi" w:cstheme="minorHAnsi"/>
          <w:sz w:val="22"/>
          <w:szCs w:val="22"/>
          <w:lang w:val="en-GB"/>
        </w:rPr>
        <w:footnoteReference w:id="2"/>
      </w:r>
      <w:r w:rsidRPr="002B2630">
        <w:rPr>
          <w:rFonts w:asciiTheme="minorHAnsi" w:hAnsiTheme="minorHAnsi" w:cstheme="minorHAnsi"/>
          <w:sz w:val="22"/>
          <w:szCs w:val="22"/>
          <w:lang w:val="en-GB"/>
        </w:rPr>
        <w:t xml:space="preserve">. The observed differences in debt maturities among countries depend partly on the characteristics of the firms in each economy. </w:t>
      </w:r>
      <w:r w:rsidR="00A0681A">
        <w:rPr>
          <w:rFonts w:asciiTheme="minorHAnsi" w:hAnsiTheme="minorHAnsi" w:cstheme="minorHAnsi"/>
          <w:sz w:val="22"/>
          <w:szCs w:val="22"/>
          <w:lang w:val="en-GB"/>
        </w:rPr>
        <w:t>We accordingly</w:t>
      </w:r>
      <w:r w:rsidRPr="002B2630">
        <w:rPr>
          <w:rFonts w:asciiTheme="minorHAnsi" w:hAnsiTheme="minorHAnsi" w:cstheme="minorHAnsi"/>
          <w:sz w:val="22"/>
          <w:szCs w:val="22"/>
          <w:lang w:val="en-GB"/>
        </w:rPr>
        <w:t xml:space="preserve"> introduce firm-level variables suggested by theory which have been used in previous studies analy</w:t>
      </w:r>
      <w:r>
        <w:rPr>
          <w:rFonts w:asciiTheme="minorHAnsi" w:hAnsiTheme="minorHAnsi" w:cstheme="minorHAnsi"/>
          <w:sz w:val="22"/>
          <w:szCs w:val="22"/>
          <w:lang w:val="en-GB"/>
        </w:rPr>
        <w:t>s</w:t>
      </w:r>
      <w:r w:rsidRPr="002B2630">
        <w:rPr>
          <w:rFonts w:asciiTheme="minorHAnsi" w:hAnsiTheme="minorHAnsi" w:cstheme="minorHAnsi"/>
          <w:sz w:val="22"/>
          <w:szCs w:val="22"/>
          <w:lang w:val="en-GB"/>
        </w:rPr>
        <w:t xml:space="preserve">ing firm debt maturity (Myers, 1977; Barnea </w:t>
      </w:r>
      <w:r w:rsidR="005E2B08" w:rsidRPr="005E2B08">
        <w:rPr>
          <w:rFonts w:asciiTheme="minorHAnsi" w:hAnsiTheme="minorHAnsi" w:cstheme="minorHAnsi"/>
          <w:i/>
          <w:sz w:val="22"/>
          <w:szCs w:val="22"/>
          <w:lang w:val="en-GB"/>
        </w:rPr>
        <w:t>et al.</w:t>
      </w:r>
      <w:r w:rsidRPr="002B2630">
        <w:rPr>
          <w:rFonts w:asciiTheme="minorHAnsi" w:hAnsiTheme="minorHAnsi" w:cstheme="minorHAnsi"/>
          <w:sz w:val="22"/>
          <w:szCs w:val="22"/>
          <w:lang w:val="en-GB"/>
        </w:rPr>
        <w:t>, 1980; Barclay and Smith, 1995; Stohs and Mauer, 1996;</w:t>
      </w:r>
      <w:r w:rsidR="00A22626">
        <w:rPr>
          <w:rFonts w:asciiTheme="minorHAnsi" w:hAnsiTheme="minorHAnsi" w:cstheme="minorHAnsi"/>
          <w:sz w:val="22"/>
          <w:szCs w:val="22"/>
          <w:lang w:val="en-GB"/>
        </w:rPr>
        <w:t xml:space="preserve"> González, 2013;</w:t>
      </w:r>
      <w:r w:rsidRPr="002B2630">
        <w:rPr>
          <w:rFonts w:asciiTheme="minorHAnsi" w:hAnsiTheme="minorHAnsi" w:cstheme="minorHAnsi"/>
          <w:sz w:val="22"/>
          <w:szCs w:val="22"/>
          <w:lang w:val="en-GB"/>
        </w:rPr>
        <w:t xml:space="preserve"> Guedes and Opler, 1996</w:t>
      </w:r>
      <w:r w:rsidR="00B404E6">
        <w:rPr>
          <w:rFonts w:asciiTheme="minorHAnsi" w:hAnsiTheme="minorHAnsi" w:cstheme="minorHAnsi"/>
          <w:sz w:val="22"/>
          <w:szCs w:val="22"/>
          <w:lang w:val="en-GB"/>
        </w:rPr>
        <w:t xml:space="preserve">; </w:t>
      </w:r>
      <w:r w:rsidR="00B404E6" w:rsidRPr="002B2630">
        <w:rPr>
          <w:rFonts w:asciiTheme="minorHAnsi" w:hAnsiTheme="minorHAnsi" w:cstheme="minorHAnsi"/>
          <w:sz w:val="22"/>
          <w:szCs w:val="22"/>
          <w:lang w:val="en-GB"/>
        </w:rPr>
        <w:t xml:space="preserve">Antoniou </w:t>
      </w:r>
      <w:r w:rsidR="005E2B08" w:rsidRPr="005E2B08">
        <w:rPr>
          <w:rFonts w:asciiTheme="minorHAnsi" w:hAnsiTheme="minorHAnsi" w:cstheme="minorHAnsi"/>
          <w:i/>
          <w:sz w:val="22"/>
          <w:szCs w:val="22"/>
          <w:lang w:val="en-GB"/>
        </w:rPr>
        <w:t>et al.</w:t>
      </w:r>
      <w:r w:rsidR="00B404E6">
        <w:rPr>
          <w:rFonts w:asciiTheme="minorHAnsi" w:hAnsiTheme="minorHAnsi" w:cstheme="minorHAnsi"/>
          <w:i/>
          <w:sz w:val="22"/>
          <w:szCs w:val="22"/>
          <w:lang w:val="en-GB"/>
        </w:rPr>
        <w:t>,</w:t>
      </w:r>
      <w:r w:rsidR="00B404E6">
        <w:rPr>
          <w:rFonts w:asciiTheme="minorHAnsi" w:hAnsiTheme="minorHAnsi" w:cstheme="minorHAnsi"/>
          <w:sz w:val="22"/>
          <w:szCs w:val="22"/>
          <w:lang w:val="en-GB"/>
        </w:rPr>
        <w:t xml:space="preserve"> 2006</w:t>
      </w:r>
      <w:r w:rsidRPr="002B2630">
        <w:rPr>
          <w:rFonts w:asciiTheme="minorHAnsi" w:hAnsiTheme="minorHAnsi" w:cstheme="minorHAnsi"/>
          <w:sz w:val="22"/>
          <w:szCs w:val="22"/>
          <w:lang w:val="en-GB"/>
        </w:rPr>
        <w:t xml:space="preserve">). </w:t>
      </w:r>
    </w:p>
    <w:p w:rsidR="00871120" w:rsidRPr="002B2630"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Firms have an interest in matching their debt maturities to their asset maturities</w:t>
      </w:r>
      <w:r w:rsidR="00C2787E">
        <w:rPr>
          <w:rFonts w:asciiTheme="minorHAnsi" w:hAnsiTheme="minorHAnsi" w:cstheme="minorHAnsi"/>
          <w:sz w:val="22"/>
          <w:szCs w:val="22"/>
          <w:lang w:val="en-GB"/>
        </w:rPr>
        <w:t xml:space="preserve"> to avoid risks</w:t>
      </w:r>
      <w:r w:rsidRPr="002B2630">
        <w:rPr>
          <w:rFonts w:asciiTheme="minorHAnsi" w:hAnsiTheme="minorHAnsi" w:cstheme="minorHAnsi"/>
          <w:sz w:val="22"/>
          <w:szCs w:val="22"/>
          <w:lang w:val="en-GB"/>
        </w:rPr>
        <w:t xml:space="preserve">. If the maturity of debt is shorter than that of assets, the firm may not have sufficient cash available to pay its financial obligations when they are due. However, if debt has a longer maturity, debt payments remain due when cash flows from assets cease. </w:t>
      </w:r>
      <w:r w:rsidR="001532BB">
        <w:rPr>
          <w:rFonts w:asciiTheme="minorHAnsi" w:hAnsiTheme="minorHAnsi" w:cstheme="minorHAnsi"/>
          <w:sz w:val="22"/>
          <w:szCs w:val="22"/>
          <w:lang w:val="en-GB"/>
        </w:rPr>
        <w:t>W</w:t>
      </w:r>
      <w:r w:rsidRPr="002B2630">
        <w:rPr>
          <w:rFonts w:asciiTheme="minorHAnsi" w:hAnsiTheme="minorHAnsi" w:cstheme="minorHAnsi"/>
          <w:sz w:val="22"/>
          <w:szCs w:val="22"/>
          <w:lang w:val="en-GB"/>
        </w:rPr>
        <w:t xml:space="preserve">e have considered </w:t>
      </w:r>
      <w:r w:rsidRPr="002B2630">
        <w:rPr>
          <w:rFonts w:asciiTheme="minorHAnsi" w:hAnsiTheme="minorHAnsi" w:cstheme="minorHAnsi"/>
          <w:sz w:val="22"/>
          <w:szCs w:val="22"/>
          <w:lang w:val="en-GB"/>
        </w:rPr>
        <w:lastRenderedPageBreak/>
        <w:t>the ratio between net fixed assets and total assets (ASSET_MAT)</w:t>
      </w:r>
      <w:r w:rsidR="001532BB" w:rsidRPr="001532BB">
        <w:rPr>
          <w:rFonts w:asciiTheme="minorHAnsi" w:hAnsiTheme="minorHAnsi" w:cstheme="minorHAnsi"/>
          <w:sz w:val="22"/>
          <w:szCs w:val="22"/>
          <w:lang w:val="en-GB"/>
        </w:rPr>
        <w:t xml:space="preserve"> </w:t>
      </w:r>
      <w:r w:rsidR="001532BB">
        <w:rPr>
          <w:rFonts w:asciiTheme="minorHAnsi" w:hAnsiTheme="minorHAnsi" w:cstheme="minorHAnsi"/>
          <w:sz w:val="22"/>
          <w:szCs w:val="22"/>
          <w:lang w:val="en-GB"/>
        </w:rPr>
        <w:t>a</w:t>
      </w:r>
      <w:r w:rsidR="001532BB" w:rsidRPr="002B2630">
        <w:rPr>
          <w:rFonts w:asciiTheme="minorHAnsi" w:hAnsiTheme="minorHAnsi" w:cstheme="minorHAnsi"/>
          <w:sz w:val="22"/>
          <w:szCs w:val="22"/>
          <w:lang w:val="en-GB"/>
        </w:rPr>
        <w:t>s a measure of the maturity of assets</w:t>
      </w:r>
      <w:r w:rsidRPr="002B2630">
        <w:rPr>
          <w:rFonts w:asciiTheme="minorHAnsi" w:hAnsiTheme="minorHAnsi" w:cstheme="minorHAnsi"/>
          <w:sz w:val="22"/>
          <w:szCs w:val="22"/>
          <w:lang w:val="en-GB"/>
        </w:rPr>
        <w:t>.</w:t>
      </w:r>
    </w:p>
    <w:p w:rsidR="00871120" w:rsidRPr="002B2630"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The agency costs of debt may influence corporate debt maturity given that outstanding debt may create incentive problems for shareholders</w:t>
      </w:r>
      <w:r w:rsidR="00BA4820">
        <w:rPr>
          <w:rFonts w:asciiTheme="minorHAnsi" w:hAnsiTheme="minorHAnsi" w:cstheme="minorHAnsi"/>
          <w:sz w:val="22"/>
          <w:szCs w:val="22"/>
          <w:lang w:val="en-GB"/>
        </w:rPr>
        <w:t xml:space="preserve">. </w:t>
      </w:r>
      <w:r w:rsidR="00BA4820" w:rsidRPr="00BA4820">
        <w:rPr>
          <w:rFonts w:asciiTheme="minorHAnsi" w:hAnsiTheme="minorHAnsi" w:cstheme="minorHAnsi"/>
          <w:sz w:val="22"/>
          <w:szCs w:val="22"/>
          <w:lang w:val="en-GB"/>
        </w:rPr>
        <w:t>Myers (1977) argues that shareholders of a firm with risky fixed claims in its</w:t>
      </w:r>
      <w:r w:rsidR="00BA4820">
        <w:rPr>
          <w:rFonts w:asciiTheme="minorHAnsi" w:hAnsiTheme="minorHAnsi" w:cstheme="minorHAnsi"/>
          <w:sz w:val="22"/>
          <w:szCs w:val="22"/>
          <w:lang w:val="en-GB"/>
        </w:rPr>
        <w:t xml:space="preserve"> </w:t>
      </w:r>
      <w:r w:rsidR="00BA4820" w:rsidRPr="00BA4820">
        <w:rPr>
          <w:rFonts w:asciiTheme="minorHAnsi" w:hAnsiTheme="minorHAnsi" w:cstheme="minorHAnsi"/>
          <w:sz w:val="22"/>
          <w:szCs w:val="22"/>
          <w:lang w:val="en-GB"/>
        </w:rPr>
        <w:t>capital structure will potentially forgo positive NPV investments if project benefits</w:t>
      </w:r>
      <w:r w:rsidR="00BA4820">
        <w:rPr>
          <w:rFonts w:asciiTheme="minorHAnsi" w:hAnsiTheme="minorHAnsi" w:cstheme="minorHAnsi"/>
          <w:sz w:val="22"/>
          <w:szCs w:val="22"/>
          <w:lang w:val="en-GB"/>
        </w:rPr>
        <w:t xml:space="preserve"> </w:t>
      </w:r>
      <w:r w:rsidR="00BA4820" w:rsidRPr="00BA4820">
        <w:rPr>
          <w:rFonts w:asciiTheme="minorHAnsi" w:hAnsiTheme="minorHAnsi" w:cstheme="minorHAnsi"/>
          <w:sz w:val="22"/>
          <w:szCs w:val="22"/>
          <w:lang w:val="en-GB"/>
        </w:rPr>
        <w:t>accrue to the firm’s existing bondholders.</w:t>
      </w:r>
      <w:r w:rsidRPr="002B2630">
        <w:rPr>
          <w:rFonts w:asciiTheme="minorHAnsi" w:hAnsiTheme="minorHAnsi" w:cstheme="minorHAnsi"/>
          <w:sz w:val="22"/>
          <w:szCs w:val="22"/>
          <w:lang w:val="en-GB"/>
        </w:rPr>
        <w:t xml:space="preserve"> </w:t>
      </w:r>
      <w:r w:rsidR="00C2787E">
        <w:rPr>
          <w:rFonts w:asciiTheme="minorHAnsi" w:hAnsiTheme="minorHAnsi" w:cstheme="minorHAnsi"/>
          <w:sz w:val="22"/>
          <w:szCs w:val="22"/>
          <w:lang w:val="en-GB"/>
        </w:rPr>
        <w:t>A</w:t>
      </w:r>
      <w:r w:rsidRPr="002B2630">
        <w:rPr>
          <w:rFonts w:asciiTheme="minorHAnsi" w:hAnsiTheme="minorHAnsi" w:cstheme="minorHAnsi"/>
          <w:sz w:val="22"/>
          <w:szCs w:val="22"/>
          <w:lang w:val="en-GB"/>
        </w:rPr>
        <w:t xml:space="preserve"> firm may control this underinvestment incentive by </w:t>
      </w:r>
      <w:r w:rsidR="00BA4820" w:rsidRPr="00BA4820">
        <w:rPr>
          <w:rFonts w:asciiTheme="minorHAnsi" w:hAnsiTheme="minorHAnsi" w:cstheme="minorHAnsi"/>
          <w:sz w:val="22"/>
          <w:szCs w:val="22"/>
          <w:lang w:val="en-GB"/>
        </w:rPr>
        <w:t>reducing the amount of debt in the firm’s capital structure, by</w:t>
      </w:r>
      <w:r w:rsidR="00BA4820">
        <w:rPr>
          <w:rFonts w:asciiTheme="minorHAnsi" w:hAnsiTheme="minorHAnsi" w:cstheme="minorHAnsi"/>
          <w:sz w:val="22"/>
          <w:szCs w:val="22"/>
          <w:lang w:val="en-GB"/>
        </w:rPr>
        <w:t xml:space="preserve"> </w:t>
      </w:r>
      <w:r w:rsidR="00BA4820" w:rsidRPr="00BA4820">
        <w:rPr>
          <w:rFonts w:asciiTheme="minorHAnsi" w:hAnsiTheme="minorHAnsi" w:cstheme="minorHAnsi"/>
          <w:sz w:val="22"/>
          <w:szCs w:val="22"/>
          <w:lang w:val="en-GB"/>
        </w:rPr>
        <w:t>including restrictive covenants in the debt contracts, or by shortening the maturity</w:t>
      </w:r>
      <w:r w:rsidR="00BA4820">
        <w:rPr>
          <w:rFonts w:asciiTheme="minorHAnsi" w:hAnsiTheme="minorHAnsi" w:cstheme="minorHAnsi"/>
          <w:sz w:val="22"/>
          <w:szCs w:val="22"/>
          <w:lang w:val="en-GB"/>
        </w:rPr>
        <w:t xml:space="preserve"> </w:t>
      </w:r>
      <w:r w:rsidR="00BA4820" w:rsidRPr="00BA4820">
        <w:rPr>
          <w:rFonts w:asciiTheme="minorHAnsi" w:hAnsiTheme="minorHAnsi" w:cstheme="minorHAnsi"/>
          <w:sz w:val="22"/>
          <w:szCs w:val="22"/>
          <w:lang w:val="en-GB"/>
        </w:rPr>
        <w:t>of the firm’s debt obligations</w:t>
      </w:r>
      <w:r w:rsidR="00C2787E">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 xml:space="preserve">The variable used as a proxy for the firm’s investment opportunity set is the market-to-book ratio (GROWTH). </w:t>
      </w:r>
    </w:p>
    <w:p w:rsidR="00871120" w:rsidRPr="002B2630"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 xml:space="preserve">Agency problems between shareholders and debtholders may be particularly severe for small firms as a consequence of underinvestment incentives and risk shifting. Barnea </w:t>
      </w:r>
      <w:r w:rsidR="005E2B08" w:rsidRPr="005E2B08">
        <w:rPr>
          <w:rFonts w:asciiTheme="minorHAnsi" w:hAnsiTheme="minorHAnsi" w:cstheme="minorHAnsi"/>
          <w:i/>
          <w:sz w:val="22"/>
          <w:szCs w:val="22"/>
          <w:lang w:val="en-GB"/>
        </w:rPr>
        <w:t>et al.</w:t>
      </w:r>
      <w:r w:rsidRPr="002B2630">
        <w:rPr>
          <w:rFonts w:asciiTheme="minorHAnsi" w:hAnsiTheme="minorHAnsi" w:cstheme="minorHAnsi"/>
          <w:sz w:val="22"/>
          <w:szCs w:val="22"/>
          <w:lang w:val="en-GB"/>
        </w:rPr>
        <w:t xml:space="preserve"> (1980) suggest that these problems may be reduced by issuing shorter-term debt. Th</w:t>
      </w:r>
      <w:r w:rsidR="00D11BA6">
        <w:rPr>
          <w:rFonts w:asciiTheme="minorHAnsi" w:hAnsiTheme="minorHAnsi" w:cstheme="minorHAnsi"/>
          <w:sz w:val="22"/>
          <w:szCs w:val="22"/>
          <w:lang w:val="en-GB"/>
        </w:rPr>
        <w:t>is</w:t>
      </w:r>
      <w:r w:rsidRPr="002B2630">
        <w:rPr>
          <w:rFonts w:asciiTheme="minorHAnsi" w:hAnsiTheme="minorHAnsi" w:cstheme="minorHAnsi"/>
          <w:sz w:val="22"/>
          <w:szCs w:val="22"/>
          <w:lang w:val="en-GB"/>
        </w:rPr>
        <w:t xml:space="preserve"> argument thus suggest</w:t>
      </w:r>
      <w:r w:rsidR="00D11BA6">
        <w:rPr>
          <w:rFonts w:asciiTheme="minorHAnsi" w:hAnsiTheme="minorHAnsi" w:cstheme="minorHAnsi"/>
          <w:sz w:val="22"/>
          <w:szCs w:val="22"/>
          <w:lang w:val="en-GB"/>
        </w:rPr>
        <w:t>s</w:t>
      </w:r>
      <w:r w:rsidRPr="002B2630">
        <w:rPr>
          <w:rFonts w:asciiTheme="minorHAnsi" w:hAnsiTheme="minorHAnsi" w:cstheme="minorHAnsi"/>
          <w:sz w:val="22"/>
          <w:szCs w:val="22"/>
          <w:lang w:val="en-GB"/>
        </w:rPr>
        <w:t xml:space="preserve"> that debt maturity varies directly with firm size. We have measured firm size as the natural logarithm of sales (SIZE).</w:t>
      </w:r>
    </w:p>
    <w:p w:rsidR="00871120" w:rsidRPr="002B2630"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 xml:space="preserve">The </w:t>
      </w:r>
      <w:r w:rsidR="002671B4">
        <w:rPr>
          <w:rFonts w:asciiTheme="minorHAnsi" w:hAnsiTheme="minorHAnsi" w:cstheme="minorHAnsi"/>
          <w:sz w:val="22"/>
          <w:szCs w:val="22"/>
          <w:lang w:val="en-GB"/>
        </w:rPr>
        <w:t>liquidity</w:t>
      </w:r>
      <w:r w:rsidR="00B404E6">
        <w:rPr>
          <w:rFonts w:asciiTheme="minorHAnsi" w:hAnsiTheme="minorHAnsi" w:cstheme="minorHAnsi"/>
          <w:sz w:val="22"/>
          <w:szCs w:val="22"/>
          <w:lang w:val="en-GB"/>
        </w:rPr>
        <w:t xml:space="preserve"> risk</w:t>
      </w:r>
      <w:r w:rsidRPr="002B2630">
        <w:rPr>
          <w:rFonts w:asciiTheme="minorHAnsi" w:hAnsiTheme="minorHAnsi" w:cstheme="minorHAnsi"/>
          <w:sz w:val="22"/>
          <w:szCs w:val="22"/>
          <w:lang w:val="en-GB"/>
        </w:rPr>
        <w:t xml:space="preserve"> hypothesis implies that </w:t>
      </w:r>
      <w:r w:rsidR="002671B4">
        <w:rPr>
          <w:rFonts w:asciiTheme="minorHAnsi" w:hAnsiTheme="minorHAnsi" w:cstheme="minorHAnsi"/>
          <w:sz w:val="22"/>
          <w:szCs w:val="22"/>
          <w:lang w:val="en-GB"/>
        </w:rPr>
        <w:t>incentives to lengthen the maturity of debt increase with the risk of not being able to refund debt.</w:t>
      </w:r>
      <w:r w:rsidRPr="002B2630">
        <w:rPr>
          <w:rFonts w:asciiTheme="minorHAnsi" w:hAnsiTheme="minorHAnsi" w:cstheme="minorHAnsi"/>
          <w:sz w:val="22"/>
          <w:szCs w:val="22"/>
          <w:lang w:val="en-GB"/>
        </w:rPr>
        <w:t xml:space="preserve"> In this context, high-quality firms </w:t>
      </w:r>
      <w:r w:rsidR="002671B4">
        <w:rPr>
          <w:rFonts w:asciiTheme="minorHAnsi" w:hAnsiTheme="minorHAnsi" w:cstheme="minorHAnsi"/>
          <w:sz w:val="22"/>
          <w:szCs w:val="22"/>
          <w:lang w:val="en-GB"/>
        </w:rPr>
        <w:t>will prefer to issue</w:t>
      </w:r>
      <w:r w:rsidRPr="002B2630">
        <w:rPr>
          <w:rFonts w:asciiTheme="minorHAnsi" w:hAnsiTheme="minorHAnsi" w:cstheme="minorHAnsi"/>
          <w:sz w:val="22"/>
          <w:szCs w:val="22"/>
          <w:lang w:val="en-GB"/>
        </w:rPr>
        <w:t xml:space="preserve"> short-term debt. Following Antoniou </w:t>
      </w:r>
      <w:r w:rsidR="005E2B08" w:rsidRPr="005E2B08">
        <w:rPr>
          <w:rFonts w:asciiTheme="minorHAnsi" w:hAnsiTheme="minorHAnsi" w:cstheme="minorHAnsi"/>
          <w:i/>
          <w:sz w:val="22"/>
          <w:szCs w:val="22"/>
          <w:lang w:val="en-GB"/>
        </w:rPr>
        <w:t>et al.</w:t>
      </w:r>
      <w:r w:rsidRPr="002B2630">
        <w:rPr>
          <w:rFonts w:asciiTheme="minorHAnsi" w:hAnsiTheme="minorHAnsi" w:cstheme="minorHAnsi"/>
          <w:sz w:val="22"/>
          <w:szCs w:val="22"/>
          <w:lang w:val="en-GB"/>
        </w:rPr>
        <w:t xml:space="preserve"> (2006), we use the ratio of net income plus depreciation to net debt as a proxy for firm quality (FIRM_QUALITY). </w:t>
      </w:r>
    </w:p>
    <w:p w:rsidR="00871120" w:rsidRPr="002B2630" w:rsidRDefault="00B11AAD" w:rsidP="00871120">
      <w:pPr>
        <w:spacing w:before="120" w:after="240" w:line="480"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Companies with a high volatility in their firm value </w:t>
      </w:r>
      <w:r w:rsidR="00871120" w:rsidRPr="002B2630">
        <w:rPr>
          <w:rFonts w:asciiTheme="minorHAnsi" w:hAnsiTheme="minorHAnsi" w:cstheme="minorHAnsi"/>
          <w:sz w:val="22"/>
          <w:szCs w:val="22"/>
          <w:lang w:val="en-GB"/>
        </w:rPr>
        <w:t>have to change their capital structure frequently to reduce bankruptcy costs and hence these firms will use more short-term debt (</w:t>
      </w:r>
      <w:r w:rsidR="00C2787E">
        <w:rPr>
          <w:rFonts w:asciiTheme="minorHAnsi" w:hAnsiTheme="minorHAnsi" w:cstheme="minorHAnsi"/>
          <w:sz w:val="22"/>
          <w:szCs w:val="22"/>
          <w:lang w:val="en-GB"/>
        </w:rPr>
        <w:t xml:space="preserve">Kane </w:t>
      </w:r>
      <w:r w:rsidR="00C2787E" w:rsidRPr="00C2787E">
        <w:rPr>
          <w:rFonts w:asciiTheme="minorHAnsi" w:hAnsiTheme="minorHAnsi" w:cstheme="minorHAnsi"/>
          <w:i/>
          <w:sz w:val="22"/>
          <w:szCs w:val="22"/>
          <w:lang w:val="en-GB"/>
        </w:rPr>
        <w:t>et al</w:t>
      </w:r>
      <w:r w:rsidR="00C2787E">
        <w:rPr>
          <w:rFonts w:asciiTheme="minorHAnsi" w:hAnsiTheme="minorHAnsi" w:cstheme="minorHAnsi"/>
          <w:sz w:val="22"/>
          <w:szCs w:val="22"/>
          <w:lang w:val="en-GB"/>
        </w:rPr>
        <w:t>., 1985</w:t>
      </w:r>
      <w:r w:rsidR="00871120" w:rsidRPr="002B2630">
        <w:rPr>
          <w:rFonts w:asciiTheme="minorHAnsi" w:hAnsiTheme="minorHAnsi" w:cstheme="minorHAnsi"/>
          <w:sz w:val="22"/>
          <w:szCs w:val="22"/>
          <w:lang w:val="en-GB"/>
        </w:rPr>
        <w:t xml:space="preserve">). In this context, the maturity of debt should rise if the volatility of firm value decreases. </w:t>
      </w:r>
      <w:r w:rsidR="009E0C48">
        <w:rPr>
          <w:rFonts w:asciiTheme="minorHAnsi" w:hAnsiTheme="minorHAnsi" w:cstheme="minorHAnsi"/>
          <w:sz w:val="22"/>
          <w:szCs w:val="22"/>
          <w:lang w:val="en-GB"/>
        </w:rPr>
        <w:t>T</w:t>
      </w:r>
      <w:r w:rsidR="00871120" w:rsidRPr="002B2630">
        <w:rPr>
          <w:rFonts w:asciiTheme="minorHAnsi" w:hAnsiTheme="minorHAnsi" w:cstheme="minorHAnsi"/>
          <w:sz w:val="22"/>
          <w:szCs w:val="22"/>
          <w:lang w:val="en-GB"/>
        </w:rPr>
        <w:t xml:space="preserve">he firm’s level of volatility is proxied by the absolute value of change in earnings before interest and taxes (VOL_EBIT). </w:t>
      </w:r>
    </w:p>
    <w:p w:rsidR="00871120" w:rsidRPr="002B2630"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lastRenderedPageBreak/>
        <w:t xml:space="preserve">Diamond (1991) shows that liquidity risk increases with leverage and hence that highly leveraged firms may be expected to use more long-term debt. However, Barclay </w:t>
      </w:r>
      <w:r w:rsidR="005E2B08" w:rsidRPr="005E2B08">
        <w:rPr>
          <w:rFonts w:asciiTheme="minorHAnsi" w:hAnsiTheme="minorHAnsi" w:cstheme="minorHAnsi"/>
          <w:i/>
          <w:sz w:val="22"/>
          <w:szCs w:val="22"/>
          <w:lang w:val="en-GB"/>
        </w:rPr>
        <w:t>et al.</w:t>
      </w:r>
      <w:r w:rsidRPr="002B2630">
        <w:rPr>
          <w:rFonts w:asciiTheme="minorHAnsi" w:hAnsiTheme="minorHAnsi" w:cstheme="minorHAnsi"/>
          <w:sz w:val="22"/>
          <w:szCs w:val="22"/>
          <w:lang w:val="en-GB"/>
        </w:rPr>
        <w:t xml:space="preserve"> (2003) argue that the relationship between leverage and maturity should be negative due to the fact that leverage and maturity are substitutes in mitigating under- and overinvestment problems. The opposing arguments and mixed empirical evidence mean that the influence </w:t>
      </w:r>
      <w:r w:rsidR="00D11BA6">
        <w:rPr>
          <w:rFonts w:asciiTheme="minorHAnsi" w:hAnsiTheme="minorHAnsi" w:cstheme="minorHAnsi"/>
          <w:sz w:val="22"/>
          <w:szCs w:val="22"/>
          <w:lang w:val="en-GB"/>
        </w:rPr>
        <w:t xml:space="preserve">of </w:t>
      </w:r>
      <w:r w:rsidRPr="002B2630">
        <w:rPr>
          <w:rFonts w:asciiTheme="minorHAnsi" w:hAnsiTheme="minorHAnsi" w:cstheme="minorHAnsi"/>
          <w:sz w:val="22"/>
          <w:szCs w:val="22"/>
          <w:lang w:val="en-GB"/>
        </w:rPr>
        <w:t>leverage has on debt maturity is basically an empirical question. Leverage has been proxied in this paper as the ratio between total debt and firm market value (LEV)</w:t>
      </w:r>
      <w:r w:rsidR="00153027">
        <w:rPr>
          <w:rStyle w:val="Refdenotaalpie"/>
          <w:rFonts w:asciiTheme="minorHAnsi" w:hAnsiTheme="minorHAnsi" w:cstheme="minorHAnsi"/>
          <w:sz w:val="22"/>
          <w:szCs w:val="22"/>
          <w:lang w:val="en-GB"/>
        </w:rPr>
        <w:footnoteReference w:id="3"/>
      </w:r>
      <w:r w:rsidRPr="002B2630">
        <w:rPr>
          <w:rFonts w:asciiTheme="minorHAnsi" w:hAnsiTheme="minorHAnsi" w:cstheme="minorHAnsi"/>
          <w:sz w:val="22"/>
          <w:szCs w:val="22"/>
          <w:lang w:val="en-GB"/>
        </w:rPr>
        <w:t>. The market value of assets is defined as total assets minus the book value of equity plus the market value of equity.</w:t>
      </w:r>
      <w:r w:rsidR="00F15711">
        <w:rPr>
          <w:rFonts w:asciiTheme="minorHAnsi" w:hAnsiTheme="minorHAnsi" w:cstheme="minorHAnsi"/>
          <w:sz w:val="22"/>
          <w:szCs w:val="22"/>
          <w:lang w:val="en-GB"/>
        </w:rPr>
        <w:t xml:space="preserve"> </w:t>
      </w:r>
    </w:p>
    <w:p w:rsidR="001A6042"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 xml:space="preserve">As </w:t>
      </w:r>
      <w:r>
        <w:rPr>
          <w:rFonts w:asciiTheme="minorHAnsi" w:hAnsiTheme="minorHAnsi" w:cstheme="minorHAnsi"/>
          <w:sz w:val="22"/>
          <w:szCs w:val="22"/>
          <w:lang w:val="en-GB"/>
        </w:rPr>
        <w:t>regards</w:t>
      </w:r>
      <w:r w:rsidRPr="002B2630">
        <w:rPr>
          <w:rFonts w:asciiTheme="minorHAnsi" w:hAnsiTheme="minorHAnsi" w:cstheme="minorHAnsi"/>
          <w:sz w:val="22"/>
          <w:szCs w:val="22"/>
          <w:lang w:val="en-GB"/>
        </w:rPr>
        <w:t xml:space="preserve"> country-level variables, we have used the rule of law component from the Worldwide Governance Indicators (WGI) compiled by Kaufmann </w:t>
      </w:r>
      <w:r w:rsidR="005E2B08" w:rsidRPr="005E2B08">
        <w:rPr>
          <w:rFonts w:asciiTheme="minorHAnsi" w:hAnsiTheme="minorHAnsi" w:cstheme="minorHAnsi"/>
          <w:i/>
          <w:sz w:val="22"/>
          <w:szCs w:val="22"/>
          <w:lang w:val="en-GB"/>
        </w:rPr>
        <w:t>et al.</w:t>
      </w:r>
      <w:r w:rsidRPr="002B2630">
        <w:rPr>
          <w:rFonts w:asciiTheme="minorHAnsi" w:hAnsiTheme="minorHAnsi" w:cstheme="minorHAnsi"/>
          <w:sz w:val="22"/>
          <w:szCs w:val="22"/>
          <w:lang w:val="en-GB"/>
        </w:rPr>
        <w:t xml:space="preserve"> (2009) to proxy the efficiency of a country’s legal system</w:t>
      </w:r>
      <w:r w:rsidR="005B0760">
        <w:rPr>
          <w:rFonts w:asciiTheme="minorHAnsi" w:hAnsiTheme="minorHAnsi" w:cstheme="minorHAnsi"/>
          <w:sz w:val="22"/>
          <w:szCs w:val="22"/>
          <w:lang w:val="en-GB"/>
        </w:rPr>
        <w:t xml:space="preserve"> and the protection of property rights</w:t>
      </w:r>
      <w:r w:rsidRPr="002B2630">
        <w:rPr>
          <w:rFonts w:asciiTheme="minorHAnsi" w:hAnsiTheme="minorHAnsi" w:cstheme="minorHAnsi"/>
          <w:sz w:val="22"/>
          <w:szCs w:val="22"/>
          <w:lang w:val="en-GB"/>
        </w:rPr>
        <w:t>. Rule of law captures perceptions of the extent to which agents have confidence in and abide by the rules of society, as well as the likelihood of crime and violence (RULE_OF_LAW). The index ranges from -2.5 to 2.5, low levels denoting less efficiency in the legal system</w:t>
      </w:r>
      <w:r w:rsidR="005B0760">
        <w:rPr>
          <w:rFonts w:asciiTheme="minorHAnsi" w:hAnsiTheme="minorHAnsi" w:cstheme="minorHAnsi"/>
          <w:sz w:val="22"/>
          <w:szCs w:val="22"/>
          <w:lang w:val="en-GB"/>
        </w:rPr>
        <w:t xml:space="preserve"> and protection of property rights</w:t>
      </w:r>
      <w:r w:rsidR="009E0C48">
        <w:rPr>
          <w:rFonts w:asciiTheme="minorHAnsi" w:hAnsiTheme="minorHAnsi" w:cstheme="minorHAnsi"/>
          <w:sz w:val="22"/>
          <w:szCs w:val="22"/>
          <w:lang w:val="en-GB"/>
        </w:rPr>
        <w:t>.</w:t>
      </w:r>
      <w:r w:rsidR="001A6042">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 xml:space="preserve">We use the index developed in Djankov </w:t>
      </w:r>
      <w:r w:rsidR="005E2B08" w:rsidRPr="005E2B08">
        <w:rPr>
          <w:rFonts w:asciiTheme="minorHAnsi" w:hAnsiTheme="minorHAnsi" w:cstheme="minorHAnsi"/>
          <w:i/>
          <w:sz w:val="22"/>
          <w:szCs w:val="22"/>
          <w:lang w:val="en-GB"/>
        </w:rPr>
        <w:t>et al.</w:t>
      </w:r>
      <w:r w:rsidRPr="002B2630">
        <w:rPr>
          <w:rFonts w:asciiTheme="minorHAnsi" w:hAnsiTheme="minorHAnsi" w:cstheme="minorHAnsi"/>
          <w:sz w:val="22"/>
          <w:szCs w:val="22"/>
          <w:lang w:val="en-GB"/>
        </w:rPr>
        <w:t xml:space="preserve"> (2007) to measure the legal rights of creditors against defaulting debtors (C_RIGHTS). </w:t>
      </w:r>
      <w:r w:rsidR="003366C9">
        <w:rPr>
          <w:rFonts w:asciiTheme="minorHAnsi" w:hAnsiTheme="minorHAnsi" w:cstheme="minorHAnsi"/>
          <w:sz w:val="22"/>
          <w:szCs w:val="22"/>
          <w:lang w:val="en-GB"/>
        </w:rPr>
        <w:t>This index</w:t>
      </w:r>
      <w:r w:rsidR="003366C9" w:rsidRPr="002B2630">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measures four powers of secured lenders in bankruptcy</w:t>
      </w:r>
      <w:r w:rsidR="001A6042">
        <w:rPr>
          <w:rFonts w:asciiTheme="minorHAnsi" w:hAnsiTheme="minorHAnsi" w:cstheme="minorHAnsi"/>
          <w:sz w:val="22"/>
          <w:szCs w:val="22"/>
          <w:lang w:val="en-GB"/>
        </w:rPr>
        <w:t>, with high values indicating higher protection of creditor rights.</w:t>
      </w:r>
    </w:p>
    <w:p w:rsidR="00871120" w:rsidRPr="002B2630"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 xml:space="preserve">We also use two variables </w:t>
      </w:r>
      <w:r w:rsidR="003366C9">
        <w:rPr>
          <w:rFonts w:asciiTheme="minorHAnsi" w:hAnsiTheme="minorHAnsi" w:cstheme="minorHAnsi"/>
          <w:sz w:val="22"/>
          <w:szCs w:val="22"/>
          <w:lang w:val="en-GB"/>
        </w:rPr>
        <w:t xml:space="preserve">to </w:t>
      </w:r>
      <w:r w:rsidRPr="002B2630">
        <w:rPr>
          <w:rFonts w:asciiTheme="minorHAnsi" w:hAnsiTheme="minorHAnsi" w:cstheme="minorHAnsi"/>
          <w:sz w:val="22"/>
          <w:szCs w:val="22"/>
          <w:lang w:val="en-GB"/>
        </w:rPr>
        <w:t xml:space="preserve">proxy the banking structure in the country. First, the weight of banks in the economy, measured as the </w:t>
      </w:r>
      <w:r w:rsidR="001532BB" w:rsidRPr="00CF68A1">
        <w:rPr>
          <w:rFonts w:asciiTheme="minorHAnsi" w:hAnsiTheme="minorHAnsi" w:cstheme="minorHAnsi"/>
          <w:sz w:val="22"/>
          <w:szCs w:val="22"/>
          <w:lang w:val="en-GB"/>
        </w:rPr>
        <w:t>ratio of</w:t>
      </w:r>
      <w:r w:rsidR="001532BB">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private credit by deposit money banks to GDP (BANK_CREDIT). The data are obtained from the Financial Structure and Economic Data</w:t>
      </w:r>
      <w:r>
        <w:rPr>
          <w:rFonts w:asciiTheme="minorHAnsi" w:hAnsiTheme="minorHAnsi" w:cstheme="minorHAnsi"/>
          <w:sz w:val="22"/>
          <w:szCs w:val="22"/>
          <w:lang w:val="en-GB"/>
        </w:rPr>
        <w:t>base</w:t>
      </w:r>
      <w:r w:rsidRPr="002B2630">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lastRenderedPageBreak/>
        <w:t xml:space="preserve">(Beck </w:t>
      </w:r>
      <w:r w:rsidR="005E2B08" w:rsidRPr="005E2B08">
        <w:rPr>
          <w:rFonts w:asciiTheme="minorHAnsi" w:hAnsiTheme="minorHAnsi" w:cstheme="minorHAnsi"/>
          <w:i/>
          <w:sz w:val="22"/>
          <w:szCs w:val="22"/>
          <w:lang w:val="en-GB"/>
        </w:rPr>
        <w:t>et al.</w:t>
      </w:r>
      <w:r w:rsidRPr="002B2630">
        <w:rPr>
          <w:rFonts w:asciiTheme="minorHAnsi" w:hAnsiTheme="minorHAnsi" w:cstheme="minorHAnsi"/>
          <w:sz w:val="22"/>
          <w:szCs w:val="22"/>
          <w:lang w:val="en-GB"/>
        </w:rPr>
        <w:t xml:space="preserve">, 2006). Second, we also use a measure of bank concentration in a country. Following Demirgüç-Kunt </w:t>
      </w:r>
      <w:r w:rsidR="005E2B08" w:rsidRPr="005E2B08">
        <w:rPr>
          <w:rFonts w:asciiTheme="minorHAnsi" w:hAnsiTheme="minorHAnsi" w:cstheme="minorHAnsi"/>
          <w:i/>
          <w:sz w:val="22"/>
          <w:szCs w:val="22"/>
          <w:lang w:val="en-GB"/>
        </w:rPr>
        <w:t>et al.</w:t>
      </w:r>
      <w:r w:rsidRPr="002B2630">
        <w:rPr>
          <w:rFonts w:asciiTheme="minorHAnsi" w:hAnsiTheme="minorHAnsi" w:cstheme="minorHAnsi"/>
          <w:sz w:val="22"/>
          <w:szCs w:val="22"/>
          <w:lang w:val="en-GB"/>
        </w:rPr>
        <w:t xml:space="preserve"> (2004) and Beck </w:t>
      </w:r>
      <w:r w:rsidR="005E2B08" w:rsidRPr="005E2B08">
        <w:rPr>
          <w:rFonts w:asciiTheme="minorHAnsi" w:hAnsiTheme="minorHAnsi" w:cstheme="minorHAnsi"/>
          <w:i/>
          <w:sz w:val="22"/>
          <w:szCs w:val="22"/>
          <w:lang w:val="en-GB"/>
        </w:rPr>
        <w:t>et al.</w:t>
      </w:r>
      <w:r w:rsidRPr="002B2630">
        <w:rPr>
          <w:rFonts w:asciiTheme="minorHAnsi" w:hAnsiTheme="minorHAnsi" w:cstheme="minorHAnsi"/>
          <w:sz w:val="22"/>
          <w:szCs w:val="22"/>
          <w:lang w:val="en-GB"/>
        </w:rPr>
        <w:t xml:space="preserve"> (2006), we measure bank concentration as the </w:t>
      </w:r>
      <w:r w:rsidR="00CF68A1">
        <w:rPr>
          <w:rFonts w:asciiTheme="minorHAnsi" w:hAnsiTheme="minorHAnsi" w:cstheme="minorHAnsi"/>
          <w:sz w:val="22"/>
          <w:szCs w:val="22"/>
          <w:lang w:val="en-GB"/>
        </w:rPr>
        <w:t xml:space="preserve">proportion </w:t>
      </w:r>
      <w:r w:rsidRPr="002B2630">
        <w:rPr>
          <w:rFonts w:asciiTheme="minorHAnsi" w:hAnsiTheme="minorHAnsi" w:cstheme="minorHAnsi"/>
          <w:sz w:val="22"/>
          <w:szCs w:val="22"/>
          <w:lang w:val="en-GB"/>
        </w:rPr>
        <w:t>of bank assets held by the three largest commercial banks in the country (BANK_CONC). Figures are obtained from the World Bank Database, whose main source is Fitch IBCA’s Bankscope Database.</w:t>
      </w:r>
    </w:p>
    <w:p w:rsidR="00871120" w:rsidRPr="002B2630"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 xml:space="preserve">We include three specific effects: </w:t>
      </w:r>
      <w:r w:rsidR="00DE5AC4" w:rsidRPr="002B2630">
        <w:rPr>
          <w:rFonts w:asciiTheme="minorHAnsi" w:hAnsiTheme="minorHAnsi" w:cstheme="minorHAnsi"/>
          <w:sz w:val="22"/>
          <w:szCs w:val="22"/>
          <w:lang w:val="en-GB"/>
        </w:rPr>
        <w:t xml:space="preserve">country-year </w:t>
      </w:r>
      <w:r w:rsidR="00DE5AC4">
        <w:rPr>
          <w:rFonts w:asciiTheme="minorHAnsi" w:hAnsiTheme="minorHAnsi" w:cstheme="minorHAnsi"/>
          <w:sz w:val="22"/>
          <w:szCs w:val="22"/>
          <w:lang w:val="en-GB"/>
        </w:rPr>
        <w:t>(</w:t>
      </w:r>
      <w:r w:rsidR="00E32555" w:rsidRPr="00DE5AC4">
        <w:rPr>
          <w:position w:val="-28"/>
        </w:rPr>
        <w:object w:dxaOrig="639" w:dyaOrig="540">
          <v:shape id="_x0000_i1026" type="#_x0000_t75" style="width:32.25pt;height:27pt" o:ole="">
            <v:imagedata r:id="rId10" o:title=""/>
          </v:shape>
          <o:OLEObject Type="Embed" ProgID="Equation.3" ShapeID="_x0000_i1026" DrawAspect="Content" ObjectID="_1554193997" r:id="rId11"/>
        </w:object>
      </w:r>
      <w:r w:rsidR="00DE5AC4">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industry-year</w:t>
      </w:r>
      <w:r w:rsidR="00DE5AC4">
        <w:rPr>
          <w:rFonts w:asciiTheme="minorHAnsi" w:hAnsiTheme="minorHAnsi" w:cstheme="minorHAnsi"/>
          <w:sz w:val="22"/>
          <w:szCs w:val="22"/>
          <w:lang w:val="en-GB"/>
        </w:rPr>
        <w:t xml:space="preserve"> (</w:t>
      </w:r>
      <w:r w:rsidR="00DE5AC4" w:rsidRPr="000526D2">
        <w:rPr>
          <w:position w:val="-30"/>
        </w:rPr>
        <w:object w:dxaOrig="660" w:dyaOrig="560">
          <v:shape id="_x0000_i1027" type="#_x0000_t75" style="width:33pt;height:27.75pt" o:ole="">
            <v:imagedata r:id="rId12" o:title=""/>
          </v:shape>
          <o:OLEObject Type="Embed" ProgID="Equation.3" ShapeID="_x0000_i1027" DrawAspect="Content" ObjectID="_1554193998" r:id="rId13"/>
        </w:object>
      </w:r>
      <w:r w:rsidR="00DE5AC4" w:rsidRPr="00DE5AC4">
        <w:rPr>
          <w:lang w:val="en-US"/>
        </w:rPr>
        <w:t>)</w:t>
      </w:r>
      <w:r w:rsidR="00DE5AC4">
        <w:rPr>
          <w:lang w:val="en-US"/>
        </w:rPr>
        <w:t xml:space="preserve"> </w:t>
      </w:r>
      <w:r w:rsidRPr="002B2630">
        <w:rPr>
          <w:rFonts w:asciiTheme="minorHAnsi" w:hAnsiTheme="minorHAnsi" w:cstheme="minorHAnsi"/>
          <w:sz w:val="22"/>
          <w:szCs w:val="22"/>
          <w:lang w:val="en-GB"/>
        </w:rPr>
        <w:t xml:space="preserve">and firm-specific </w:t>
      </w:r>
      <w:r w:rsidR="00DE5AC4">
        <w:rPr>
          <w:rFonts w:asciiTheme="minorHAnsi" w:hAnsiTheme="minorHAnsi" w:cstheme="minorHAnsi"/>
          <w:sz w:val="22"/>
          <w:szCs w:val="22"/>
          <w:lang w:val="en-GB"/>
        </w:rPr>
        <w:t>(</w:t>
      </w:r>
      <w:r w:rsidR="00DE5AC4" w:rsidRPr="000526D2">
        <w:rPr>
          <w:position w:val="-12"/>
        </w:rPr>
        <w:object w:dxaOrig="240" w:dyaOrig="360">
          <v:shape id="_x0000_i1028" type="#_x0000_t75" style="width:12.75pt;height:18pt" o:ole="">
            <v:imagedata r:id="rId14" o:title=""/>
          </v:shape>
          <o:OLEObject Type="Embed" ProgID="Equation.3" ShapeID="_x0000_i1028" DrawAspect="Content" ObjectID="_1554193999" r:id="rId15"/>
        </w:object>
      </w:r>
      <w:r w:rsidR="00DE5AC4">
        <w:rPr>
          <w:rFonts w:asciiTheme="minorHAnsi" w:hAnsiTheme="minorHAnsi" w:cstheme="minorHAnsi"/>
          <w:sz w:val="22"/>
          <w:szCs w:val="22"/>
          <w:lang w:val="en-GB"/>
        </w:rPr>
        <w:t>)</w:t>
      </w:r>
      <w:r w:rsidR="001532BB" w:rsidRPr="001532BB">
        <w:rPr>
          <w:rFonts w:asciiTheme="minorHAnsi" w:hAnsiTheme="minorHAnsi" w:cstheme="minorHAnsi"/>
          <w:sz w:val="22"/>
          <w:szCs w:val="22"/>
          <w:lang w:val="en-GB"/>
        </w:rPr>
        <w:t xml:space="preserve"> </w:t>
      </w:r>
      <w:r w:rsidR="001532BB" w:rsidRPr="002B2630">
        <w:rPr>
          <w:rFonts w:asciiTheme="minorHAnsi" w:hAnsiTheme="minorHAnsi" w:cstheme="minorHAnsi"/>
          <w:sz w:val="22"/>
          <w:szCs w:val="22"/>
          <w:lang w:val="en-GB"/>
        </w:rPr>
        <w:t>effects</w:t>
      </w:r>
      <w:r w:rsidRPr="002B2630">
        <w:rPr>
          <w:rFonts w:asciiTheme="minorHAnsi" w:hAnsiTheme="minorHAnsi" w:cstheme="minorHAnsi"/>
          <w:sz w:val="22"/>
          <w:szCs w:val="22"/>
          <w:lang w:val="en-GB"/>
        </w:rPr>
        <w:t xml:space="preserve">. These specific effects try to control for most shocks affecting debt maturity. This approach has the advantage of being less likely to suffer from omitted variable bias or model specification than traditional regressions (Dell’Ariccia </w:t>
      </w:r>
      <w:r w:rsidR="005E2B08" w:rsidRPr="005E2B08">
        <w:rPr>
          <w:rFonts w:asciiTheme="minorHAnsi" w:hAnsiTheme="minorHAnsi" w:cstheme="minorHAnsi"/>
          <w:i/>
          <w:sz w:val="22"/>
          <w:szCs w:val="22"/>
          <w:lang w:val="en-GB"/>
        </w:rPr>
        <w:t>et al.</w:t>
      </w:r>
      <w:r w:rsidRPr="002B2630">
        <w:rPr>
          <w:rFonts w:asciiTheme="minorHAnsi" w:hAnsiTheme="minorHAnsi" w:cstheme="minorHAnsi"/>
          <w:i/>
          <w:sz w:val="22"/>
          <w:szCs w:val="22"/>
          <w:lang w:val="en-GB"/>
        </w:rPr>
        <w:t>,</w:t>
      </w:r>
      <w:r w:rsidRPr="002B2630">
        <w:rPr>
          <w:rFonts w:asciiTheme="minorHAnsi" w:hAnsiTheme="minorHAnsi" w:cstheme="minorHAnsi"/>
          <w:sz w:val="22"/>
          <w:szCs w:val="22"/>
          <w:lang w:val="en-GB"/>
        </w:rPr>
        <w:t xml:space="preserve"> 2008).</w:t>
      </w:r>
    </w:p>
    <w:p w:rsidR="00871120" w:rsidRPr="002B2630"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 xml:space="preserve">Table 1 provides descriptive statistics </w:t>
      </w:r>
      <w:r>
        <w:rPr>
          <w:rFonts w:asciiTheme="minorHAnsi" w:hAnsiTheme="minorHAnsi" w:cstheme="minorHAnsi"/>
          <w:sz w:val="22"/>
          <w:szCs w:val="22"/>
          <w:lang w:val="en-GB"/>
        </w:rPr>
        <w:t>on</w:t>
      </w:r>
      <w:r w:rsidRPr="002B2630">
        <w:rPr>
          <w:rFonts w:asciiTheme="minorHAnsi" w:hAnsiTheme="minorHAnsi" w:cstheme="minorHAnsi"/>
          <w:sz w:val="22"/>
          <w:szCs w:val="22"/>
          <w:lang w:val="en-GB"/>
        </w:rPr>
        <w:t xml:space="preserve"> the firm- and country-level variables used in this paper. Panel A describes all the firms included in the sample. Panels B and C show the descriptive statistics according to </w:t>
      </w:r>
      <w:r w:rsidR="00436E44">
        <w:rPr>
          <w:rFonts w:asciiTheme="minorHAnsi" w:hAnsiTheme="minorHAnsi" w:cstheme="minorHAnsi"/>
          <w:sz w:val="22"/>
          <w:szCs w:val="22"/>
          <w:lang w:val="en-GB"/>
        </w:rPr>
        <w:t xml:space="preserve">firm </w:t>
      </w:r>
      <w:r w:rsidRPr="002B2630">
        <w:rPr>
          <w:rFonts w:asciiTheme="minorHAnsi" w:hAnsiTheme="minorHAnsi" w:cstheme="minorHAnsi"/>
          <w:sz w:val="22"/>
          <w:szCs w:val="22"/>
          <w:lang w:val="en-GB"/>
        </w:rPr>
        <w:t xml:space="preserve">size. We split our sample into quartiles according to the amount of total assets. We define “large firms” as those in the </w:t>
      </w:r>
      <w:r w:rsidR="003366C9">
        <w:rPr>
          <w:rFonts w:asciiTheme="minorHAnsi" w:hAnsiTheme="minorHAnsi" w:cstheme="minorHAnsi"/>
          <w:sz w:val="22"/>
          <w:szCs w:val="22"/>
          <w:lang w:val="en-GB"/>
        </w:rPr>
        <w:t>highest</w:t>
      </w:r>
      <w:r w:rsidR="003366C9" w:rsidRPr="002B2630">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 xml:space="preserve">quartile and “small firms” as those belonging to the </w:t>
      </w:r>
      <w:r w:rsidR="003366C9">
        <w:rPr>
          <w:rFonts w:asciiTheme="minorHAnsi" w:hAnsiTheme="minorHAnsi" w:cstheme="minorHAnsi"/>
          <w:sz w:val="22"/>
          <w:szCs w:val="22"/>
          <w:lang w:val="en-GB"/>
        </w:rPr>
        <w:t>lowest</w:t>
      </w:r>
      <w:r w:rsidR="003366C9" w:rsidRPr="002B2630">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quartile. The mean (median) debt maturity of the sample is 47.19 (48.19)</w:t>
      </w:r>
      <w:r w:rsidR="005706D0">
        <w:rPr>
          <w:rFonts w:asciiTheme="minorHAnsi" w:hAnsiTheme="minorHAnsi" w:cstheme="minorHAnsi"/>
          <w:sz w:val="22"/>
          <w:szCs w:val="22"/>
          <w:lang w:val="en-GB"/>
        </w:rPr>
        <w:t>%</w:t>
      </w:r>
      <w:r w:rsidRPr="002B2630">
        <w:rPr>
          <w:rFonts w:asciiTheme="minorHAnsi" w:hAnsiTheme="minorHAnsi" w:cstheme="minorHAnsi"/>
          <w:sz w:val="22"/>
          <w:szCs w:val="22"/>
          <w:lang w:val="en-GB"/>
        </w:rPr>
        <w:t xml:space="preserve">. Large firms present higher average maturity of debt (63.15 </w:t>
      </w:r>
      <w:r w:rsidR="005706D0">
        <w:rPr>
          <w:rFonts w:asciiTheme="minorHAnsi" w:hAnsiTheme="minorHAnsi" w:cstheme="minorHAnsi"/>
          <w:sz w:val="22"/>
          <w:szCs w:val="22"/>
          <w:lang w:val="en-GB"/>
        </w:rPr>
        <w:t>%</w:t>
      </w:r>
      <w:r w:rsidRPr="002B2630">
        <w:rPr>
          <w:rFonts w:asciiTheme="minorHAnsi" w:hAnsiTheme="minorHAnsi" w:cstheme="minorHAnsi"/>
          <w:sz w:val="22"/>
          <w:szCs w:val="22"/>
          <w:lang w:val="en-GB"/>
        </w:rPr>
        <w:t xml:space="preserve">) than small firms (35.75 </w:t>
      </w:r>
      <w:r w:rsidR="005706D0">
        <w:rPr>
          <w:rFonts w:asciiTheme="minorHAnsi" w:hAnsiTheme="minorHAnsi" w:cstheme="minorHAnsi"/>
          <w:sz w:val="22"/>
          <w:szCs w:val="22"/>
          <w:lang w:val="en-GB"/>
        </w:rPr>
        <w:t>%</w:t>
      </w:r>
      <w:r w:rsidRPr="002B2630">
        <w:rPr>
          <w:rFonts w:asciiTheme="minorHAnsi" w:hAnsiTheme="minorHAnsi" w:cstheme="minorHAnsi"/>
          <w:sz w:val="22"/>
          <w:szCs w:val="22"/>
          <w:lang w:val="en-GB"/>
        </w:rPr>
        <w:t xml:space="preserve">). Large firms also show higher maturity of assets, growth opportunities and leverage than small firms. However, small firms have higher firm quality and a higher value of volatility of earnings. </w:t>
      </w:r>
    </w:p>
    <w:p w:rsidR="00871120" w:rsidRPr="002B2630" w:rsidRDefault="00871120" w:rsidP="00871120">
      <w:pPr>
        <w:spacing w:before="120" w:after="240" w:line="480" w:lineRule="auto"/>
        <w:jc w:val="center"/>
        <w:rPr>
          <w:rFonts w:asciiTheme="minorHAnsi" w:hAnsiTheme="minorHAnsi" w:cstheme="minorHAnsi"/>
          <w:sz w:val="22"/>
          <w:szCs w:val="22"/>
          <w:lang w:val="en-GB"/>
        </w:rPr>
      </w:pPr>
      <w:r w:rsidRPr="002B2630">
        <w:rPr>
          <w:rFonts w:asciiTheme="minorHAnsi" w:hAnsiTheme="minorHAnsi" w:cstheme="minorHAnsi"/>
          <w:sz w:val="22"/>
          <w:szCs w:val="22"/>
          <w:lang w:val="en-GB"/>
        </w:rPr>
        <w:t>TABLE 1 ABOUT HERE</w:t>
      </w:r>
    </w:p>
    <w:p w:rsidR="00871120" w:rsidRPr="002B2630"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 xml:space="preserve">Table </w:t>
      </w:r>
      <w:r w:rsidR="00D55369">
        <w:rPr>
          <w:rFonts w:asciiTheme="minorHAnsi" w:hAnsiTheme="minorHAnsi" w:cstheme="minorHAnsi"/>
          <w:sz w:val="22"/>
          <w:szCs w:val="22"/>
          <w:lang w:val="en-GB"/>
        </w:rPr>
        <w:t>2</w:t>
      </w:r>
      <w:r w:rsidRPr="002B2630">
        <w:rPr>
          <w:rFonts w:asciiTheme="minorHAnsi" w:hAnsiTheme="minorHAnsi" w:cstheme="minorHAnsi"/>
          <w:sz w:val="22"/>
          <w:szCs w:val="22"/>
          <w:lang w:val="en-GB"/>
        </w:rPr>
        <w:t xml:space="preserve"> shows the correlation matrix. DEBT_MAT </w:t>
      </w:r>
      <w:r>
        <w:rPr>
          <w:rFonts w:asciiTheme="minorHAnsi" w:hAnsiTheme="minorHAnsi" w:cstheme="minorHAnsi"/>
          <w:sz w:val="22"/>
          <w:szCs w:val="22"/>
          <w:lang w:val="en-GB"/>
        </w:rPr>
        <w:t xml:space="preserve">shows a positive </w:t>
      </w:r>
      <w:r w:rsidRPr="002B2630">
        <w:rPr>
          <w:rFonts w:asciiTheme="minorHAnsi" w:hAnsiTheme="minorHAnsi" w:cstheme="minorHAnsi"/>
          <w:sz w:val="22"/>
          <w:szCs w:val="22"/>
          <w:lang w:val="en-GB"/>
        </w:rPr>
        <w:t xml:space="preserve">correlation with asset maturity, size and leverage, but correlates negatively with the quality of the firm. </w:t>
      </w:r>
    </w:p>
    <w:p w:rsidR="00871120" w:rsidRPr="002B2630" w:rsidRDefault="00871120" w:rsidP="00871120">
      <w:pPr>
        <w:spacing w:before="120" w:after="240" w:line="480" w:lineRule="auto"/>
        <w:jc w:val="center"/>
        <w:rPr>
          <w:rFonts w:asciiTheme="minorHAnsi" w:hAnsiTheme="minorHAnsi" w:cstheme="minorHAnsi"/>
          <w:sz w:val="22"/>
          <w:szCs w:val="22"/>
          <w:lang w:val="en-GB"/>
        </w:rPr>
      </w:pPr>
      <w:r w:rsidRPr="002B2630">
        <w:rPr>
          <w:rFonts w:asciiTheme="minorHAnsi" w:hAnsiTheme="minorHAnsi" w:cstheme="minorHAnsi"/>
          <w:sz w:val="22"/>
          <w:szCs w:val="22"/>
          <w:lang w:val="en-GB"/>
        </w:rPr>
        <w:t>TABLE 2 ABOUT HERE</w:t>
      </w:r>
    </w:p>
    <w:p w:rsidR="00871120" w:rsidRPr="00E32555" w:rsidRDefault="00E32555" w:rsidP="00E32555">
      <w:pPr>
        <w:pStyle w:val="Prrafodelista"/>
        <w:numPr>
          <w:ilvl w:val="0"/>
          <w:numId w:val="4"/>
        </w:numPr>
        <w:spacing w:before="120" w:after="240" w:line="480" w:lineRule="auto"/>
        <w:jc w:val="both"/>
        <w:rPr>
          <w:rFonts w:asciiTheme="minorHAnsi" w:hAnsiTheme="minorHAnsi" w:cstheme="minorHAnsi"/>
          <w:b/>
          <w:sz w:val="22"/>
          <w:szCs w:val="22"/>
          <w:lang w:val="en-GB"/>
        </w:rPr>
      </w:pPr>
      <w:r w:rsidRPr="00E32555">
        <w:rPr>
          <w:rFonts w:asciiTheme="minorHAnsi" w:hAnsiTheme="minorHAnsi" w:cstheme="minorHAnsi"/>
          <w:b/>
          <w:sz w:val="22"/>
          <w:szCs w:val="22"/>
          <w:lang w:val="en-GB"/>
        </w:rPr>
        <w:t>RESULTS</w:t>
      </w:r>
    </w:p>
    <w:p w:rsidR="00871120" w:rsidRPr="00E32555" w:rsidRDefault="00E32555" w:rsidP="00E32555">
      <w:pPr>
        <w:pStyle w:val="Prrafodelista"/>
        <w:numPr>
          <w:ilvl w:val="1"/>
          <w:numId w:val="4"/>
        </w:numPr>
        <w:spacing w:before="120" w:after="240" w:line="480" w:lineRule="auto"/>
        <w:jc w:val="both"/>
        <w:rPr>
          <w:rFonts w:asciiTheme="minorHAnsi" w:hAnsiTheme="minorHAnsi" w:cstheme="minorHAnsi"/>
          <w:sz w:val="22"/>
          <w:szCs w:val="22"/>
          <w:lang w:val="en-GB"/>
        </w:rPr>
      </w:pPr>
      <w:r w:rsidRPr="00E32555">
        <w:rPr>
          <w:rFonts w:asciiTheme="minorHAnsi" w:hAnsiTheme="minorHAnsi" w:cstheme="minorHAnsi"/>
          <w:sz w:val="22"/>
          <w:szCs w:val="22"/>
          <w:lang w:val="en-GB"/>
        </w:rPr>
        <w:lastRenderedPageBreak/>
        <w:t>DETERMINANTS OF FIRM DEBT MATURITY</w:t>
      </w:r>
    </w:p>
    <w:p w:rsidR="00871120" w:rsidRPr="002B2630"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 xml:space="preserve">The estimations are carried out using panel data. </w:t>
      </w:r>
      <w:r w:rsidR="005706D0">
        <w:rPr>
          <w:rFonts w:asciiTheme="minorHAnsi" w:hAnsiTheme="minorHAnsi" w:cstheme="minorHAnsi"/>
          <w:sz w:val="22"/>
          <w:szCs w:val="22"/>
          <w:lang w:val="en-GB"/>
        </w:rPr>
        <w:t>W</w:t>
      </w:r>
      <w:r w:rsidRPr="002B2630">
        <w:rPr>
          <w:rFonts w:asciiTheme="minorHAnsi" w:hAnsiTheme="minorHAnsi" w:cstheme="minorHAnsi"/>
          <w:sz w:val="22"/>
          <w:szCs w:val="22"/>
          <w:lang w:val="en-GB"/>
        </w:rPr>
        <w:t xml:space="preserve">e use the Breusch-Pagan test (Breusch and Pagan, 1980) to identify the existence of individual effects. </w:t>
      </w:r>
      <w:r w:rsidR="00AD56BE">
        <w:rPr>
          <w:rFonts w:asciiTheme="minorHAnsi" w:hAnsiTheme="minorHAnsi" w:cstheme="minorHAnsi"/>
          <w:sz w:val="22"/>
          <w:szCs w:val="22"/>
          <w:lang w:val="en-GB"/>
        </w:rPr>
        <w:t>As t</w:t>
      </w:r>
      <w:r w:rsidRPr="002B2630">
        <w:rPr>
          <w:rFonts w:asciiTheme="minorHAnsi" w:hAnsiTheme="minorHAnsi" w:cstheme="minorHAnsi"/>
          <w:sz w:val="22"/>
          <w:szCs w:val="22"/>
          <w:lang w:val="en-GB"/>
        </w:rPr>
        <w:t>he null hypothesis of no unobserved heterogeneity is rejected</w:t>
      </w:r>
      <w:r w:rsidR="00AD56BE">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the panel data methodology is appropriate. The panel data estimation was calculated using fixed effects, as the Hausman test (</w:t>
      </w:r>
      <w:r w:rsidR="00203517">
        <w:rPr>
          <w:rFonts w:asciiTheme="minorHAnsi" w:hAnsiTheme="minorHAnsi" w:cstheme="minorHAnsi"/>
          <w:sz w:val="22"/>
          <w:szCs w:val="22"/>
          <w:lang w:val="en-GB"/>
        </w:rPr>
        <w:t xml:space="preserve">Hausman, </w:t>
      </w:r>
      <w:r w:rsidRPr="002B2630">
        <w:rPr>
          <w:rFonts w:asciiTheme="minorHAnsi" w:hAnsiTheme="minorHAnsi" w:cstheme="minorHAnsi"/>
          <w:sz w:val="22"/>
          <w:szCs w:val="22"/>
          <w:lang w:val="en-GB"/>
        </w:rPr>
        <w:t>1978) rejects the null hypothesis of the lack of correlation between individual effects and observable variables in all regressions.</w:t>
      </w:r>
      <w:r w:rsidR="00FE7A7E">
        <w:rPr>
          <w:rFonts w:asciiTheme="minorHAnsi" w:hAnsiTheme="minorHAnsi" w:cstheme="minorHAnsi"/>
          <w:sz w:val="22"/>
          <w:szCs w:val="22"/>
          <w:lang w:val="en-GB"/>
        </w:rPr>
        <w:t xml:space="preserve"> </w:t>
      </w:r>
      <w:r w:rsidR="00FE7A7E" w:rsidRPr="00E135E9">
        <w:rPr>
          <w:rFonts w:asciiTheme="minorHAnsi" w:hAnsiTheme="minorHAnsi" w:cstheme="minorHAnsi"/>
          <w:sz w:val="22"/>
          <w:szCs w:val="22"/>
          <w:lang w:val="en-GB"/>
        </w:rPr>
        <w:t>All independent firm-level variables are lagged by one year to control for potential endogeneity problems.</w:t>
      </w:r>
    </w:p>
    <w:p w:rsidR="00871120" w:rsidRPr="002B2630"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 xml:space="preserve">Column (1) </w:t>
      </w:r>
      <w:r w:rsidR="009E0C48">
        <w:rPr>
          <w:rFonts w:asciiTheme="minorHAnsi" w:hAnsiTheme="minorHAnsi" w:cstheme="minorHAnsi"/>
          <w:sz w:val="22"/>
          <w:szCs w:val="22"/>
          <w:lang w:val="en-GB"/>
        </w:rPr>
        <w:t xml:space="preserve">in Table </w:t>
      </w:r>
      <w:r w:rsidR="00D55369">
        <w:rPr>
          <w:rFonts w:asciiTheme="minorHAnsi" w:hAnsiTheme="minorHAnsi" w:cstheme="minorHAnsi"/>
          <w:sz w:val="22"/>
          <w:szCs w:val="22"/>
          <w:lang w:val="en-GB"/>
        </w:rPr>
        <w:t>3</w:t>
      </w:r>
      <w:r w:rsidR="009E0C48">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shows the results when only firm-level variables are considered. The relation</w:t>
      </w:r>
      <w:r w:rsidR="001532BB">
        <w:rPr>
          <w:rFonts w:asciiTheme="minorHAnsi" w:hAnsiTheme="minorHAnsi" w:cstheme="minorHAnsi"/>
          <w:sz w:val="22"/>
          <w:szCs w:val="22"/>
          <w:lang w:val="en-GB"/>
        </w:rPr>
        <w:t>ship</w:t>
      </w:r>
      <w:r w:rsidRPr="002B2630">
        <w:rPr>
          <w:rFonts w:asciiTheme="minorHAnsi" w:hAnsiTheme="minorHAnsi" w:cstheme="minorHAnsi"/>
          <w:sz w:val="22"/>
          <w:szCs w:val="22"/>
          <w:lang w:val="en-GB"/>
        </w:rPr>
        <w:t xml:space="preserve"> between asset and debt maturities is positive. This is consistent with the matching hypothesis, according to which firms match assets and liabilities to reduce risk. The effect of size on debt maturity is positive, indicating that large firms have larger debt maturities. This positive relationship is in line with the idea that firms with more agency problems –small firms– may use shorter-term debt to reduce underinvestment and risk-shifting problems. </w:t>
      </w:r>
      <w:r w:rsidR="00CE4B7B" w:rsidRPr="002B2630">
        <w:rPr>
          <w:rFonts w:asciiTheme="minorHAnsi" w:hAnsiTheme="minorHAnsi" w:cstheme="minorHAnsi"/>
          <w:sz w:val="22"/>
          <w:szCs w:val="22"/>
          <w:lang w:val="en-GB"/>
        </w:rPr>
        <w:t>FIRM_QUALITY has a negative influence on debt maturity, indicating that high-quality firms tend to issue short-term debt</w:t>
      </w:r>
      <w:r w:rsidR="002671B4">
        <w:rPr>
          <w:rFonts w:asciiTheme="minorHAnsi" w:hAnsiTheme="minorHAnsi" w:cstheme="minorHAnsi"/>
          <w:sz w:val="22"/>
          <w:szCs w:val="22"/>
          <w:lang w:val="en-GB"/>
        </w:rPr>
        <w:t>.</w:t>
      </w:r>
      <w:r w:rsidR="00CE4B7B" w:rsidRPr="002B2630">
        <w:rPr>
          <w:rFonts w:asciiTheme="minorHAnsi" w:hAnsiTheme="minorHAnsi" w:cstheme="minorHAnsi"/>
          <w:sz w:val="22"/>
          <w:szCs w:val="22"/>
          <w:lang w:val="en-GB"/>
        </w:rPr>
        <w:t xml:space="preserve"> </w:t>
      </w:r>
      <w:r w:rsidRPr="00564DC7">
        <w:rPr>
          <w:rFonts w:asciiTheme="minorHAnsi" w:hAnsiTheme="minorHAnsi" w:cstheme="minorHAnsi"/>
          <w:sz w:val="22"/>
          <w:szCs w:val="22"/>
          <w:lang w:val="en-GB"/>
        </w:rPr>
        <w:t>The coefficient of VOL_EBIT</w:t>
      </w:r>
      <w:r w:rsidR="002E20DA" w:rsidRPr="00564DC7">
        <w:rPr>
          <w:rFonts w:asciiTheme="minorHAnsi" w:hAnsiTheme="minorHAnsi" w:cstheme="minorHAnsi"/>
          <w:sz w:val="22"/>
          <w:szCs w:val="22"/>
          <w:lang w:val="en-GB"/>
        </w:rPr>
        <w:t xml:space="preserve"> shows that the result</w:t>
      </w:r>
      <w:r w:rsidR="00470EB0" w:rsidRPr="00564DC7">
        <w:rPr>
          <w:rFonts w:asciiTheme="minorHAnsi" w:hAnsiTheme="minorHAnsi" w:cstheme="minorHAnsi"/>
          <w:sz w:val="22"/>
          <w:szCs w:val="22"/>
          <w:lang w:val="en-GB"/>
        </w:rPr>
        <w:t>s</w:t>
      </w:r>
      <w:r w:rsidR="002E20DA" w:rsidRPr="00564DC7">
        <w:rPr>
          <w:rFonts w:asciiTheme="minorHAnsi" w:hAnsiTheme="minorHAnsi" w:cstheme="minorHAnsi"/>
          <w:sz w:val="22"/>
          <w:szCs w:val="22"/>
          <w:lang w:val="en-GB"/>
        </w:rPr>
        <w:t xml:space="preserve"> are not in </w:t>
      </w:r>
      <w:r w:rsidRPr="00564DC7">
        <w:rPr>
          <w:rFonts w:asciiTheme="minorHAnsi" w:hAnsiTheme="minorHAnsi" w:cstheme="minorHAnsi"/>
          <w:sz w:val="22"/>
          <w:szCs w:val="22"/>
          <w:lang w:val="en-GB"/>
        </w:rPr>
        <w:t>line with the tax hypothesis.</w:t>
      </w:r>
      <w:r w:rsidRPr="002B2630">
        <w:rPr>
          <w:rFonts w:asciiTheme="minorHAnsi" w:hAnsiTheme="minorHAnsi" w:cstheme="minorHAnsi"/>
          <w:sz w:val="22"/>
          <w:szCs w:val="22"/>
          <w:lang w:val="en-GB"/>
        </w:rPr>
        <w:t xml:space="preserve"> Leverage</w:t>
      </w:r>
      <w:r w:rsidR="00CE4B7B">
        <w:rPr>
          <w:rFonts w:asciiTheme="minorHAnsi" w:hAnsiTheme="minorHAnsi" w:cstheme="minorHAnsi"/>
          <w:sz w:val="22"/>
          <w:szCs w:val="22"/>
          <w:lang w:val="en-GB"/>
        </w:rPr>
        <w:t xml:space="preserve"> (LEV)</w:t>
      </w:r>
      <w:r w:rsidRPr="002B2630">
        <w:rPr>
          <w:rFonts w:asciiTheme="minorHAnsi" w:hAnsiTheme="minorHAnsi" w:cstheme="minorHAnsi"/>
          <w:sz w:val="22"/>
          <w:szCs w:val="22"/>
          <w:lang w:val="en-GB"/>
        </w:rPr>
        <w:t xml:space="preserve"> has a positive relationship to debt maturity in a way that is consistent with the arguments put forward by Diamond (1991), as liquidity risk increases with leverage and hence highly leveraged firms can be expected to use more long-term debt. </w:t>
      </w:r>
      <w:r>
        <w:rPr>
          <w:rFonts w:asciiTheme="minorHAnsi" w:hAnsiTheme="minorHAnsi" w:cstheme="minorHAnsi"/>
          <w:sz w:val="22"/>
          <w:szCs w:val="22"/>
          <w:lang w:val="en-GB"/>
        </w:rPr>
        <w:t xml:space="preserve">The </w:t>
      </w:r>
      <w:r w:rsidR="001532BB" w:rsidRPr="002B2630">
        <w:rPr>
          <w:rFonts w:asciiTheme="minorHAnsi" w:hAnsiTheme="minorHAnsi" w:cstheme="minorHAnsi"/>
          <w:sz w:val="22"/>
          <w:szCs w:val="22"/>
          <w:lang w:val="en-GB"/>
        </w:rPr>
        <w:t xml:space="preserve">variable </w:t>
      </w:r>
      <w:r w:rsidRPr="002B2630">
        <w:rPr>
          <w:rFonts w:asciiTheme="minorHAnsi" w:hAnsiTheme="minorHAnsi" w:cstheme="minorHAnsi"/>
          <w:sz w:val="22"/>
          <w:szCs w:val="22"/>
          <w:lang w:val="en-GB"/>
        </w:rPr>
        <w:t>GROWTH has a positive and significant coefficient</w:t>
      </w:r>
      <w:r w:rsidR="005706D0">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 xml:space="preserve">inconsistent with the agency cost hypothesis. The positive relationship could be a consequence of the liquidity risk argument, according to which firms with long-term investment opportunities prefer to hedge against liquidity risk by issuing long-term debt (Antoniou </w:t>
      </w:r>
      <w:r w:rsidR="005E2B08" w:rsidRPr="005E2B08">
        <w:rPr>
          <w:rFonts w:asciiTheme="minorHAnsi" w:hAnsiTheme="minorHAnsi" w:cstheme="minorHAnsi"/>
          <w:i/>
          <w:sz w:val="22"/>
          <w:szCs w:val="22"/>
          <w:lang w:val="en-GB"/>
        </w:rPr>
        <w:t>et al.</w:t>
      </w:r>
      <w:r w:rsidRPr="002B2630">
        <w:rPr>
          <w:rFonts w:asciiTheme="minorHAnsi" w:hAnsiTheme="minorHAnsi" w:cstheme="minorHAnsi"/>
          <w:sz w:val="22"/>
          <w:szCs w:val="22"/>
          <w:lang w:val="en-GB"/>
        </w:rPr>
        <w:t xml:space="preserve">, 2006; Guedes and Opler, 1996). </w:t>
      </w:r>
    </w:p>
    <w:p w:rsidR="009E0C48" w:rsidRPr="002B2630" w:rsidRDefault="009E0C48" w:rsidP="009E0C48">
      <w:pPr>
        <w:spacing w:before="120" w:after="240" w:line="480" w:lineRule="auto"/>
        <w:jc w:val="center"/>
        <w:rPr>
          <w:rFonts w:asciiTheme="minorHAnsi" w:hAnsiTheme="minorHAnsi" w:cstheme="minorHAnsi"/>
          <w:sz w:val="22"/>
          <w:szCs w:val="22"/>
          <w:lang w:val="en-GB"/>
        </w:rPr>
      </w:pPr>
      <w:r w:rsidRPr="002B2630">
        <w:rPr>
          <w:rFonts w:asciiTheme="minorHAnsi" w:hAnsiTheme="minorHAnsi" w:cstheme="minorHAnsi"/>
          <w:sz w:val="22"/>
          <w:szCs w:val="22"/>
          <w:lang w:val="en-GB"/>
        </w:rPr>
        <w:t xml:space="preserve">TABLE </w:t>
      </w:r>
      <w:r w:rsidR="00D55369">
        <w:rPr>
          <w:rFonts w:asciiTheme="minorHAnsi" w:hAnsiTheme="minorHAnsi" w:cstheme="minorHAnsi"/>
          <w:sz w:val="22"/>
          <w:szCs w:val="22"/>
          <w:lang w:val="en-GB"/>
        </w:rPr>
        <w:t>3</w:t>
      </w:r>
      <w:r w:rsidRPr="002B2630">
        <w:rPr>
          <w:rFonts w:asciiTheme="minorHAnsi" w:hAnsiTheme="minorHAnsi" w:cstheme="minorHAnsi"/>
          <w:sz w:val="22"/>
          <w:szCs w:val="22"/>
          <w:lang w:val="en-GB"/>
        </w:rPr>
        <w:t xml:space="preserve"> ABOUT HERE</w:t>
      </w:r>
    </w:p>
    <w:p w:rsidR="009E0C48"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lastRenderedPageBreak/>
        <w:t>All the results for firm-level variables discussed above are maintained when we include the country-level determinants of debt maturity in the estimations</w:t>
      </w:r>
      <w:r w:rsidR="00AD56BE">
        <w:rPr>
          <w:rFonts w:asciiTheme="minorHAnsi" w:hAnsiTheme="minorHAnsi" w:cstheme="minorHAnsi"/>
          <w:sz w:val="22"/>
          <w:szCs w:val="22"/>
          <w:lang w:val="en-GB"/>
        </w:rPr>
        <w:t xml:space="preserve"> (columns (2) to (6))</w:t>
      </w:r>
      <w:r w:rsidRPr="002B2630">
        <w:rPr>
          <w:rFonts w:asciiTheme="minorHAnsi" w:hAnsiTheme="minorHAnsi" w:cstheme="minorHAnsi"/>
          <w:sz w:val="22"/>
          <w:szCs w:val="22"/>
          <w:lang w:val="en-GB"/>
        </w:rPr>
        <w:t>.</w:t>
      </w:r>
      <w:r w:rsidR="009E0C48">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The RULE_OF_LAW variable has a positive and significant influence on debt maturity, indicating that firms in countries with strong legal enforcement</w:t>
      </w:r>
      <w:r w:rsidR="0086039D">
        <w:rPr>
          <w:rFonts w:asciiTheme="minorHAnsi" w:hAnsiTheme="minorHAnsi" w:cstheme="minorHAnsi"/>
          <w:sz w:val="22"/>
          <w:szCs w:val="22"/>
          <w:lang w:val="en-GB"/>
        </w:rPr>
        <w:t xml:space="preserve"> and stronger protection of property rights</w:t>
      </w:r>
      <w:r w:rsidRPr="002B2630">
        <w:rPr>
          <w:rFonts w:asciiTheme="minorHAnsi" w:hAnsiTheme="minorHAnsi" w:cstheme="minorHAnsi"/>
          <w:sz w:val="22"/>
          <w:szCs w:val="22"/>
          <w:lang w:val="en-GB"/>
        </w:rPr>
        <w:t xml:space="preserve"> have higher maturity of debt. This result is similar to that obtained by Demirgüç-Kunt and Maksimovic (1999) and means that the higher the quality of legal institutions, the greater the proportion of long-term financing. This finding is also consistent with the shorter debt maturity found by Fan </w:t>
      </w:r>
      <w:r w:rsidR="005E2B08" w:rsidRPr="005E2B08">
        <w:rPr>
          <w:rFonts w:asciiTheme="minorHAnsi" w:hAnsiTheme="minorHAnsi" w:cstheme="minorHAnsi"/>
          <w:i/>
          <w:sz w:val="22"/>
          <w:szCs w:val="22"/>
          <w:lang w:val="en-GB"/>
        </w:rPr>
        <w:t>et al.</w:t>
      </w:r>
      <w:r w:rsidRPr="002B2630">
        <w:rPr>
          <w:rFonts w:asciiTheme="minorHAnsi" w:hAnsiTheme="minorHAnsi" w:cstheme="minorHAnsi"/>
          <w:sz w:val="22"/>
          <w:szCs w:val="22"/>
          <w:lang w:val="en-GB"/>
        </w:rPr>
        <w:t xml:space="preserve"> (2012) in countries with high levels of corruption.</w:t>
      </w:r>
      <w:r w:rsidR="009E0C48">
        <w:rPr>
          <w:rFonts w:asciiTheme="minorHAnsi" w:hAnsiTheme="minorHAnsi" w:cstheme="minorHAnsi"/>
          <w:sz w:val="22"/>
          <w:szCs w:val="22"/>
          <w:lang w:val="en-GB"/>
        </w:rPr>
        <w:t xml:space="preserve"> </w:t>
      </w:r>
      <w:r w:rsidRPr="002B2630">
        <w:rPr>
          <w:rFonts w:asciiTheme="minorHAnsi" w:hAnsiTheme="minorHAnsi" w:cstheme="minorHAnsi"/>
          <w:sz w:val="22"/>
          <w:szCs w:val="22"/>
          <w:lang w:val="en-GB"/>
        </w:rPr>
        <w:t>The coefficient of the protection of creditor</w:t>
      </w:r>
      <w:r>
        <w:rPr>
          <w:rFonts w:asciiTheme="minorHAnsi" w:hAnsiTheme="minorHAnsi" w:cstheme="minorHAnsi"/>
          <w:sz w:val="22"/>
          <w:szCs w:val="22"/>
          <w:lang w:val="en-GB"/>
        </w:rPr>
        <w:t>s’</w:t>
      </w:r>
      <w:r w:rsidR="009E0C48">
        <w:rPr>
          <w:rFonts w:asciiTheme="minorHAnsi" w:hAnsiTheme="minorHAnsi" w:cstheme="minorHAnsi"/>
          <w:sz w:val="22"/>
          <w:szCs w:val="22"/>
          <w:lang w:val="en-GB"/>
        </w:rPr>
        <w:t xml:space="preserve"> rights</w:t>
      </w:r>
      <w:r w:rsidRPr="002B2630">
        <w:rPr>
          <w:rFonts w:asciiTheme="minorHAnsi" w:hAnsiTheme="minorHAnsi" w:cstheme="minorHAnsi"/>
          <w:sz w:val="22"/>
          <w:szCs w:val="22"/>
          <w:lang w:val="en-GB"/>
        </w:rPr>
        <w:t xml:space="preserve"> is positive. Firms in countries with strong protection of creditor</w:t>
      </w:r>
      <w:r>
        <w:rPr>
          <w:rFonts w:asciiTheme="minorHAnsi" w:hAnsiTheme="minorHAnsi" w:cstheme="minorHAnsi"/>
          <w:sz w:val="22"/>
          <w:szCs w:val="22"/>
          <w:lang w:val="en-GB"/>
        </w:rPr>
        <w:t>s’</w:t>
      </w:r>
      <w:r w:rsidRPr="002B2630">
        <w:rPr>
          <w:rFonts w:asciiTheme="minorHAnsi" w:hAnsiTheme="minorHAnsi" w:cstheme="minorHAnsi"/>
          <w:sz w:val="22"/>
          <w:szCs w:val="22"/>
          <w:lang w:val="en-GB"/>
        </w:rPr>
        <w:t xml:space="preserve"> rights tend to issue debt with a longer maturity. </w:t>
      </w:r>
      <w:r w:rsidRPr="00564DC7">
        <w:rPr>
          <w:rFonts w:asciiTheme="minorHAnsi" w:hAnsiTheme="minorHAnsi" w:cstheme="minorHAnsi"/>
          <w:sz w:val="22"/>
          <w:szCs w:val="22"/>
          <w:lang w:val="en-GB"/>
        </w:rPr>
        <w:t xml:space="preserve">This result </w:t>
      </w:r>
      <w:r w:rsidR="002E20DA" w:rsidRPr="00564DC7">
        <w:rPr>
          <w:rFonts w:asciiTheme="minorHAnsi" w:hAnsiTheme="minorHAnsi" w:cstheme="minorHAnsi"/>
          <w:sz w:val="22"/>
          <w:szCs w:val="22"/>
          <w:lang w:val="en-GB"/>
        </w:rPr>
        <w:t>suggests that</w:t>
      </w:r>
      <w:r w:rsidRPr="00564DC7">
        <w:rPr>
          <w:rFonts w:asciiTheme="minorHAnsi" w:hAnsiTheme="minorHAnsi" w:cstheme="minorHAnsi"/>
          <w:sz w:val="22"/>
          <w:szCs w:val="22"/>
          <w:lang w:val="en-GB"/>
        </w:rPr>
        <w:t xml:space="preserve"> creditors lend on more favourable terms when their rights are strongly protected</w:t>
      </w:r>
      <w:r w:rsidR="009E0C48">
        <w:rPr>
          <w:rFonts w:asciiTheme="minorHAnsi" w:hAnsiTheme="minorHAnsi" w:cstheme="minorHAnsi"/>
          <w:sz w:val="22"/>
          <w:szCs w:val="22"/>
          <w:lang w:val="en-GB"/>
        </w:rPr>
        <w:t>.</w:t>
      </w:r>
    </w:p>
    <w:p w:rsidR="00871120" w:rsidRPr="002B2630"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Bank concentration has a positive effect on firm debt maturity. The maturity of debt increases in countries in which bank concentration is high. This result suggests that higher bank concentration increases bank incentives to establish close relationships with borrowers over time and thus reduces the financial constraints on firms.</w:t>
      </w:r>
    </w:p>
    <w:p w:rsidR="00871120" w:rsidRPr="002B2630"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 xml:space="preserve">The weight of banks in the economy is seen to have a negative influence on debt maturity. This result is in line with the evidence provided by Fan </w:t>
      </w:r>
      <w:r w:rsidR="005E2B08" w:rsidRPr="005E2B08">
        <w:rPr>
          <w:rFonts w:asciiTheme="minorHAnsi" w:hAnsiTheme="minorHAnsi" w:cstheme="minorHAnsi"/>
          <w:i/>
          <w:sz w:val="22"/>
          <w:szCs w:val="22"/>
          <w:lang w:val="en-GB"/>
        </w:rPr>
        <w:t>et al.</w:t>
      </w:r>
      <w:r w:rsidRPr="002B2630">
        <w:rPr>
          <w:rFonts w:asciiTheme="minorHAnsi" w:hAnsiTheme="minorHAnsi" w:cstheme="minorHAnsi"/>
          <w:sz w:val="22"/>
          <w:szCs w:val="22"/>
          <w:lang w:val="en-GB"/>
        </w:rPr>
        <w:t xml:space="preserve"> (2012)</w:t>
      </w:r>
      <w:r w:rsidR="003366C9">
        <w:rPr>
          <w:rFonts w:asciiTheme="minorHAnsi" w:hAnsiTheme="minorHAnsi" w:cstheme="minorHAnsi"/>
          <w:sz w:val="22"/>
          <w:szCs w:val="22"/>
          <w:lang w:val="en-GB"/>
        </w:rPr>
        <w:t>,</w:t>
      </w:r>
      <w:r w:rsidRPr="002B2630">
        <w:rPr>
          <w:rFonts w:asciiTheme="minorHAnsi" w:hAnsiTheme="minorHAnsi" w:cstheme="minorHAnsi"/>
          <w:sz w:val="22"/>
          <w:szCs w:val="22"/>
          <w:lang w:val="en-GB"/>
        </w:rPr>
        <w:t xml:space="preserve"> which is consistent with the preferences of suppliers of capital having an influence on </w:t>
      </w:r>
      <w:r>
        <w:rPr>
          <w:rFonts w:asciiTheme="minorHAnsi" w:hAnsiTheme="minorHAnsi" w:cstheme="minorHAnsi"/>
          <w:sz w:val="22"/>
          <w:szCs w:val="22"/>
          <w:lang w:val="en-GB"/>
        </w:rPr>
        <w:t>debt</w:t>
      </w:r>
      <w:r w:rsidRPr="002B2630">
        <w:rPr>
          <w:rFonts w:asciiTheme="minorHAnsi" w:hAnsiTheme="minorHAnsi" w:cstheme="minorHAnsi"/>
          <w:sz w:val="22"/>
          <w:szCs w:val="22"/>
          <w:lang w:val="en-GB"/>
        </w:rPr>
        <w:t xml:space="preserve"> maturity structures. </w:t>
      </w:r>
      <w:r w:rsidR="000052D4" w:rsidRPr="002B2630">
        <w:rPr>
          <w:rFonts w:asciiTheme="minorHAnsi" w:hAnsiTheme="minorHAnsi" w:cstheme="minorHAnsi"/>
          <w:sz w:val="22"/>
          <w:szCs w:val="22"/>
          <w:lang w:val="en-GB"/>
        </w:rPr>
        <w:t>These results for country-level determinants of debt maturity are maintained when all the variables are included jointly</w:t>
      </w:r>
      <w:r w:rsidR="00CE4B7B">
        <w:rPr>
          <w:rFonts w:asciiTheme="minorHAnsi" w:hAnsiTheme="minorHAnsi" w:cstheme="minorHAnsi"/>
          <w:sz w:val="22"/>
          <w:szCs w:val="22"/>
          <w:lang w:val="en-GB"/>
        </w:rPr>
        <w:t xml:space="preserve"> in column (6)</w:t>
      </w:r>
      <w:r w:rsidR="000052D4" w:rsidRPr="002B2630">
        <w:rPr>
          <w:rFonts w:asciiTheme="minorHAnsi" w:hAnsiTheme="minorHAnsi" w:cstheme="minorHAnsi"/>
          <w:sz w:val="22"/>
          <w:szCs w:val="22"/>
          <w:lang w:val="en-GB"/>
        </w:rPr>
        <w:t>.</w:t>
      </w:r>
    </w:p>
    <w:p w:rsidR="00871120" w:rsidRDefault="00871120" w:rsidP="00871120">
      <w:pPr>
        <w:spacing w:before="120" w:after="240" w:line="480" w:lineRule="auto"/>
        <w:jc w:val="both"/>
        <w:rPr>
          <w:rFonts w:asciiTheme="minorHAnsi" w:hAnsiTheme="minorHAnsi" w:cstheme="minorHAnsi"/>
          <w:sz w:val="22"/>
          <w:szCs w:val="22"/>
          <w:lang w:val="en-GB"/>
        </w:rPr>
      </w:pPr>
      <w:r w:rsidRPr="00FA2A85">
        <w:rPr>
          <w:rFonts w:asciiTheme="minorHAnsi" w:hAnsiTheme="minorHAnsi" w:cstheme="minorHAnsi"/>
          <w:sz w:val="22"/>
          <w:szCs w:val="22"/>
          <w:lang w:val="en-GB"/>
        </w:rPr>
        <w:t>The impact of the country-level variables is economically significant. Using the coefficients in column (</w:t>
      </w:r>
      <w:r w:rsidR="0086039D" w:rsidRPr="00FA2A85">
        <w:rPr>
          <w:rFonts w:asciiTheme="minorHAnsi" w:hAnsiTheme="minorHAnsi" w:cstheme="minorHAnsi"/>
          <w:sz w:val="22"/>
          <w:szCs w:val="22"/>
          <w:lang w:val="en-GB"/>
        </w:rPr>
        <w:t>6</w:t>
      </w:r>
      <w:r w:rsidRPr="00FA2A85">
        <w:rPr>
          <w:rFonts w:asciiTheme="minorHAnsi" w:hAnsiTheme="minorHAnsi" w:cstheme="minorHAnsi"/>
          <w:sz w:val="22"/>
          <w:szCs w:val="22"/>
          <w:lang w:val="en-GB"/>
        </w:rPr>
        <w:t xml:space="preserve">), a one-standard deviation increase </w:t>
      </w:r>
      <w:r w:rsidR="00AB4CE3" w:rsidRPr="00FA2A85">
        <w:rPr>
          <w:rFonts w:asciiTheme="minorHAnsi" w:hAnsiTheme="minorHAnsi" w:cstheme="minorHAnsi"/>
          <w:sz w:val="22"/>
          <w:szCs w:val="22"/>
          <w:lang w:val="en-GB"/>
        </w:rPr>
        <w:t>in RULE_OF_LAW,</w:t>
      </w:r>
      <w:r w:rsidRPr="00FA2A85">
        <w:rPr>
          <w:rFonts w:asciiTheme="minorHAnsi" w:hAnsiTheme="minorHAnsi" w:cstheme="minorHAnsi"/>
          <w:sz w:val="22"/>
          <w:szCs w:val="22"/>
          <w:lang w:val="en-GB"/>
        </w:rPr>
        <w:t xml:space="preserve"> C_RIGHTS, BANK_CONC and BANK_CREDIT would cause a variation in debt maturity of </w:t>
      </w:r>
      <w:r w:rsidR="00532C43">
        <w:rPr>
          <w:rFonts w:asciiTheme="minorHAnsi" w:hAnsiTheme="minorHAnsi" w:cstheme="minorHAnsi"/>
          <w:sz w:val="22"/>
          <w:szCs w:val="22"/>
          <w:lang w:val="en-GB"/>
        </w:rPr>
        <w:t>6.89</w:t>
      </w:r>
      <w:r w:rsidRPr="00FA2A85">
        <w:rPr>
          <w:rFonts w:asciiTheme="minorHAnsi" w:hAnsiTheme="minorHAnsi" w:cstheme="minorHAnsi"/>
          <w:sz w:val="22"/>
          <w:szCs w:val="22"/>
          <w:lang w:val="en-GB"/>
        </w:rPr>
        <w:t xml:space="preserve"> per cent, </w:t>
      </w:r>
      <w:r w:rsidR="00FE7A7E" w:rsidRPr="00FA2A85">
        <w:rPr>
          <w:rFonts w:asciiTheme="minorHAnsi" w:hAnsiTheme="minorHAnsi" w:cstheme="minorHAnsi"/>
          <w:sz w:val="22"/>
          <w:szCs w:val="22"/>
          <w:lang w:val="en-GB"/>
        </w:rPr>
        <w:t>2.</w:t>
      </w:r>
      <w:r w:rsidR="00532C43">
        <w:rPr>
          <w:rFonts w:asciiTheme="minorHAnsi" w:hAnsiTheme="minorHAnsi" w:cstheme="minorHAnsi"/>
          <w:sz w:val="22"/>
          <w:szCs w:val="22"/>
          <w:lang w:val="en-GB"/>
        </w:rPr>
        <w:t>12</w:t>
      </w:r>
      <w:r w:rsidRPr="00FA2A85">
        <w:rPr>
          <w:rFonts w:asciiTheme="minorHAnsi" w:hAnsiTheme="minorHAnsi" w:cstheme="minorHAnsi"/>
          <w:sz w:val="22"/>
          <w:szCs w:val="22"/>
          <w:lang w:val="en-GB"/>
        </w:rPr>
        <w:t xml:space="preserve"> per cent, </w:t>
      </w:r>
      <w:r w:rsidR="00FE7A7E" w:rsidRPr="00FA2A85">
        <w:rPr>
          <w:rFonts w:asciiTheme="minorHAnsi" w:hAnsiTheme="minorHAnsi" w:cstheme="minorHAnsi"/>
          <w:sz w:val="22"/>
          <w:szCs w:val="22"/>
          <w:lang w:val="en-GB"/>
        </w:rPr>
        <w:t>2.</w:t>
      </w:r>
      <w:r w:rsidR="00532C43">
        <w:rPr>
          <w:rFonts w:asciiTheme="minorHAnsi" w:hAnsiTheme="minorHAnsi" w:cstheme="minorHAnsi"/>
          <w:sz w:val="22"/>
          <w:szCs w:val="22"/>
          <w:lang w:val="en-GB"/>
        </w:rPr>
        <w:t>74</w:t>
      </w:r>
      <w:r w:rsidRPr="00FA2A85">
        <w:rPr>
          <w:rFonts w:asciiTheme="minorHAnsi" w:hAnsiTheme="minorHAnsi" w:cstheme="minorHAnsi"/>
          <w:sz w:val="22"/>
          <w:szCs w:val="22"/>
          <w:lang w:val="en-GB"/>
        </w:rPr>
        <w:t xml:space="preserve"> per cent and -</w:t>
      </w:r>
      <w:r w:rsidR="00FE7A7E" w:rsidRPr="00FA2A85">
        <w:rPr>
          <w:rFonts w:asciiTheme="minorHAnsi" w:hAnsiTheme="minorHAnsi" w:cstheme="minorHAnsi"/>
          <w:sz w:val="22"/>
          <w:szCs w:val="22"/>
          <w:lang w:val="en-GB"/>
        </w:rPr>
        <w:t>2.</w:t>
      </w:r>
      <w:r w:rsidR="00532C43">
        <w:rPr>
          <w:rFonts w:asciiTheme="minorHAnsi" w:hAnsiTheme="minorHAnsi" w:cstheme="minorHAnsi"/>
          <w:sz w:val="22"/>
          <w:szCs w:val="22"/>
          <w:lang w:val="en-GB"/>
        </w:rPr>
        <w:t>9</w:t>
      </w:r>
      <w:r w:rsidR="00FE7A7E" w:rsidRPr="00FA2A85">
        <w:rPr>
          <w:rFonts w:asciiTheme="minorHAnsi" w:hAnsiTheme="minorHAnsi" w:cstheme="minorHAnsi"/>
          <w:sz w:val="22"/>
          <w:szCs w:val="22"/>
          <w:lang w:val="en-GB"/>
        </w:rPr>
        <w:t>7</w:t>
      </w:r>
      <w:r w:rsidRPr="00FA2A85">
        <w:rPr>
          <w:rFonts w:asciiTheme="minorHAnsi" w:hAnsiTheme="minorHAnsi" w:cstheme="minorHAnsi"/>
          <w:sz w:val="22"/>
          <w:szCs w:val="22"/>
          <w:lang w:val="en-GB"/>
        </w:rPr>
        <w:t xml:space="preserve"> per cent, respectively.</w:t>
      </w:r>
    </w:p>
    <w:p w:rsidR="005D04F6" w:rsidRPr="005D04F6" w:rsidRDefault="005D04F6" w:rsidP="005D04F6">
      <w:pPr>
        <w:spacing w:before="120" w:after="240" w:line="480" w:lineRule="auto"/>
        <w:jc w:val="both"/>
        <w:rPr>
          <w:rFonts w:asciiTheme="minorHAnsi" w:hAnsiTheme="minorHAnsi" w:cstheme="minorHAnsi"/>
          <w:sz w:val="22"/>
          <w:szCs w:val="22"/>
          <w:lang w:val="en-GB"/>
        </w:rPr>
      </w:pPr>
      <w:r w:rsidRPr="005D04F6">
        <w:rPr>
          <w:rFonts w:asciiTheme="minorHAnsi" w:hAnsiTheme="minorHAnsi" w:cstheme="minorHAnsi"/>
          <w:sz w:val="22"/>
          <w:szCs w:val="22"/>
          <w:lang w:val="en-GB"/>
        </w:rPr>
        <w:lastRenderedPageBreak/>
        <w:t>Seeing as both institutional quality and bank concentration are mechanisms to reduce agency costs and information asymmetries, we wish to know whether these mechanisms act in an alternative or complementary way. To do so, we create new variables as an interaction between the legal and institutional environment variables RULE_OF_LAW and C_RIGHTS and the banking concentration (BANK_CONC)</w:t>
      </w:r>
      <w:r>
        <w:rPr>
          <w:rFonts w:asciiTheme="minorHAnsi" w:hAnsiTheme="minorHAnsi" w:cstheme="minorHAnsi"/>
          <w:sz w:val="22"/>
          <w:szCs w:val="22"/>
          <w:lang w:val="en-GB"/>
        </w:rPr>
        <w:t xml:space="preserve"> and the weight of banks in the economy (BANK_CREDIT)</w:t>
      </w:r>
      <w:r w:rsidRPr="005D04F6">
        <w:rPr>
          <w:rFonts w:asciiTheme="minorHAnsi" w:hAnsiTheme="minorHAnsi" w:cstheme="minorHAnsi"/>
          <w:sz w:val="22"/>
          <w:szCs w:val="22"/>
          <w:lang w:val="en-GB"/>
        </w:rPr>
        <w:t xml:space="preserve">. For instance, the </w:t>
      </w:r>
      <w:r w:rsidR="001532BB" w:rsidRPr="005D04F6">
        <w:rPr>
          <w:rFonts w:asciiTheme="minorHAnsi" w:hAnsiTheme="minorHAnsi" w:cstheme="minorHAnsi"/>
          <w:sz w:val="22"/>
          <w:szCs w:val="22"/>
          <w:lang w:val="en-GB"/>
        </w:rPr>
        <w:t xml:space="preserve">variable </w:t>
      </w:r>
      <w:r w:rsidRPr="005D04F6">
        <w:rPr>
          <w:rFonts w:asciiTheme="minorHAnsi" w:hAnsiTheme="minorHAnsi" w:cstheme="minorHAnsi"/>
          <w:sz w:val="22"/>
          <w:szCs w:val="22"/>
          <w:lang w:val="en-GB"/>
        </w:rPr>
        <w:t>RULE_OF_LAW*BANK_CONC measures the differential effect of bank concentration when the level of legal enforcement is high. The estimations are presented in column (</w:t>
      </w:r>
      <w:r>
        <w:rPr>
          <w:rFonts w:asciiTheme="minorHAnsi" w:hAnsiTheme="minorHAnsi" w:cstheme="minorHAnsi"/>
          <w:sz w:val="22"/>
          <w:szCs w:val="22"/>
          <w:lang w:val="en-GB"/>
        </w:rPr>
        <w:t>7</w:t>
      </w:r>
      <w:r w:rsidRPr="005D04F6">
        <w:rPr>
          <w:rFonts w:asciiTheme="minorHAnsi" w:hAnsiTheme="minorHAnsi" w:cstheme="minorHAnsi"/>
          <w:sz w:val="22"/>
          <w:szCs w:val="22"/>
          <w:lang w:val="en-GB"/>
        </w:rPr>
        <w:t xml:space="preserve">) of Table </w:t>
      </w:r>
      <w:r w:rsidR="00D55369">
        <w:rPr>
          <w:rFonts w:asciiTheme="minorHAnsi" w:hAnsiTheme="minorHAnsi" w:cstheme="minorHAnsi"/>
          <w:sz w:val="22"/>
          <w:szCs w:val="22"/>
          <w:lang w:val="en-GB"/>
        </w:rPr>
        <w:t>3</w:t>
      </w:r>
      <w:r w:rsidRPr="005D04F6">
        <w:rPr>
          <w:rFonts w:asciiTheme="minorHAnsi" w:hAnsiTheme="minorHAnsi" w:cstheme="minorHAnsi"/>
          <w:sz w:val="22"/>
          <w:szCs w:val="22"/>
          <w:lang w:val="en-GB"/>
        </w:rPr>
        <w:t>.</w:t>
      </w:r>
    </w:p>
    <w:p w:rsidR="005D04F6" w:rsidRPr="005D04F6" w:rsidRDefault="005D04F6" w:rsidP="005D04F6">
      <w:pPr>
        <w:spacing w:before="120" w:after="240" w:line="480" w:lineRule="auto"/>
        <w:jc w:val="both"/>
        <w:rPr>
          <w:rFonts w:asciiTheme="minorHAnsi" w:hAnsiTheme="minorHAnsi" w:cstheme="minorHAnsi"/>
          <w:sz w:val="22"/>
          <w:szCs w:val="22"/>
          <w:lang w:val="en-GB"/>
        </w:rPr>
      </w:pPr>
      <w:r w:rsidRPr="005D04F6">
        <w:rPr>
          <w:rFonts w:asciiTheme="minorHAnsi" w:hAnsiTheme="minorHAnsi" w:cstheme="minorHAnsi"/>
          <w:sz w:val="22"/>
          <w:szCs w:val="22"/>
          <w:lang w:val="en-GB"/>
        </w:rPr>
        <w:t xml:space="preserve">The results reveal similar relationships for firm-level determinants with debt maturity to those highlighted previously. As for the country-level determinants, we can see that RULE_OF_LAW, BANK_CONC and BANK_CREDIT maintain the already mentioned effect. However, protection of creditors’ rights has </w:t>
      </w:r>
      <w:r>
        <w:rPr>
          <w:rFonts w:asciiTheme="minorHAnsi" w:hAnsiTheme="minorHAnsi" w:cstheme="minorHAnsi"/>
          <w:sz w:val="22"/>
          <w:szCs w:val="22"/>
          <w:lang w:val="en-GB"/>
        </w:rPr>
        <w:t>a negative</w:t>
      </w:r>
      <w:r w:rsidRPr="005D04F6">
        <w:rPr>
          <w:rFonts w:asciiTheme="minorHAnsi" w:hAnsiTheme="minorHAnsi" w:cstheme="minorHAnsi"/>
          <w:sz w:val="22"/>
          <w:szCs w:val="22"/>
          <w:lang w:val="en-GB"/>
        </w:rPr>
        <w:t xml:space="preserve"> effect on debt maturity. C_RIGHTS only maintains a positive relationship </w:t>
      </w:r>
      <w:r w:rsidR="001532BB">
        <w:rPr>
          <w:rFonts w:asciiTheme="minorHAnsi" w:hAnsiTheme="minorHAnsi" w:cstheme="minorHAnsi"/>
          <w:sz w:val="22"/>
          <w:szCs w:val="22"/>
          <w:lang w:val="en-GB"/>
        </w:rPr>
        <w:t>with</w:t>
      </w:r>
      <w:r w:rsidR="001532BB" w:rsidRPr="005D04F6">
        <w:rPr>
          <w:rFonts w:asciiTheme="minorHAnsi" w:hAnsiTheme="minorHAnsi" w:cstheme="minorHAnsi"/>
          <w:sz w:val="22"/>
          <w:szCs w:val="22"/>
          <w:lang w:val="en-GB"/>
        </w:rPr>
        <w:t xml:space="preserve"> </w:t>
      </w:r>
      <w:r w:rsidRPr="005D04F6">
        <w:rPr>
          <w:rFonts w:asciiTheme="minorHAnsi" w:hAnsiTheme="minorHAnsi" w:cstheme="minorHAnsi"/>
          <w:sz w:val="22"/>
          <w:szCs w:val="22"/>
          <w:lang w:val="en-GB"/>
        </w:rPr>
        <w:t>debt maturity when it co-exists with a high level of bank concentration in a country</w:t>
      </w:r>
      <w:r>
        <w:rPr>
          <w:rFonts w:asciiTheme="minorHAnsi" w:hAnsiTheme="minorHAnsi" w:cstheme="minorHAnsi"/>
          <w:sz w:val="22"/>
          <w:szCs w:val="22"/>
          <w:lang w:val="en-GB"/>
        </w:rPr>
        <w:t xml:space="preserve"> or with a large role of banks in the economy</w:t>
      </w:r>
      <w:r w:rsidRPr="005D04F6">
        <w:rPr>
          <w:rFonts w:asciiTheme="minorHAnsi" w:hAnsiTheme="minorHAnsi" w:cstheme="minorHAnsi"/>
          <w:sz w:val="22"/>
          <w:szCs w:val="22"/>
          <w:lang w:val="en-GB"/>
        </w:rPr>
        <w:t>.</w:t>
      </w:r>
    </w:p>
    <w:p w:rsidR="005D04F6" w:rsidRDefault="005D04F6" w:rsidP="005D04F6">
      <w:pPr>
        <w:spacing w:before="120" w:after="240" w:line="480" w:lineRule="auto"/>
        <w:jc w:val="both"/>
        <w:rPr>
          <w:rFonts w:asciiTheme="minorHAnsi" w:hAnsiTheme="minorHAnsi" w:cstheme="minorHAnsi"/>
          <w:sz w:val="22"/>
          <w:szCs w:val="22"/>
          <w:lang w:val="en-GB"/>
        </w:rPr>
      </w:pPr>
      <w:r w:rsidRPr="005D04F6">
        <w:rPr>
          <w:rFonts w:asciiTheme="minorHAnsi" w:hAnsiTheme="minorHAnsi" w:cstheme="minorHAnsi"/>
          <w:sz w:val="22"/>
          <w:szCs w:val="22"/>
          <w:lang w:val="en-GB"/>
        </w:rPr>
        <w:t>The negative coefficient of RULE_OF_LAW*BANK_CONC shows that the higher the efficiency of the legal system, the lower the positive effect of bank concentration on debt maturity. Thus, in countries where the efficiency of the legal system</w:t>
      </w:r>
      <w:r w:rsidR="00674D1B">
        <w:rPr>
          <w:rFonts w:asciiTheme="minorHAnsi" w:hAnsiTheme="minorHAnsi" w:cstheme="minorHAnsi"/>
          <w:sz w:val="22"/>
          <w:szCs w:val="22"/>
          <w:lang w:val="en-GB"/>
        </w:rPr>
        <w:t xml:space="preserve"> </w:t>
      </w:r>
      <w:r w:rsidRPr="005D04F6">
        <w:rPr>
          <w:rFonts w:asciiTheme="minorHAnsi" w:hAnsiTheme="minorHAnsi" w:cstheme="minorHAnsi"/>
          <w:sz w:val="22"/>
          <w:szCs w:val="22"/>
          <w:lang w:val="en-GB"/>
        </w:rPr>
        <w:t>is strong, bank concentration reduces its positive influence on debt maturity. This result is consistent with bank concentration and legal enforcement as alternatives for extending corporate debt maturity</w:t>
      </w:r>
      <w:r w:rsidR="00E806C0">
        <w:rPr>
          <w:rFonts w:asciiTheme="minorHAnsi" w:hAnsiTheme="minorHAnsi" w:cstheme="minorHAnsi"/>
          <w:sz w:val="22"/>
          <w:szCs w:val="22"/>
          <w:lang w:val="en-GB"/>
        </w:rPr>
        <w:t xml:space="preserve"> and offers support to our hypothesis H2b.</w:t>
      </w:r>
    </w:p>
    <w:p w:rsidR="00674D1B" w:rsidRPr="005D04F6" w:rsidRDefault="00674D1B" w:rsidP="005D04F6">
      <w:pPr>
        <w:spacing w:before="120" w:after="240" w:line="480"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negative coefficient o</w:t>
      </w:r>
      <w:r w:rsidR="00CE4B7B">
        <w:rPr>
          <w:rFonts w:asciiTheme="minorHAnsi" w:hAnsiTheme="minorHAnsi" w:cstheme="minorHAnsi"/>
          <w:sz w:val="22"/>
          <w:szCs w:val="22"/>
          <w:lang w:val="en-GB"/>
        </w:rPr>
        <w:t>f</w:t>
      </w:r>
      <w:r>
        <w:rPr>
          <w:rFonts w:asciiTheme="minorHAnsi" w:hAnsiTheme="minorHAnsi" w:cstheme="minorHAnsi"/>
          <w:sz w:val="22"/>
          <w:szCs w:val="22"/>
          <w:lang w:val="en-GB"/>
        </w:rPr>
        <w:t xml:space="preserve"> BANK_CREDIT suggests that suppliers of debt (banks) have a preference for shorter-term debt. However, the positive sign of the interaction term of this variable with RULE_OF_LAW reveals that this preference is relaxed in high quality institutional environments.</w:t>
      </w:r>
    </w:p>
    <w:p w:rsidR="00871120" w:rsidRPr="00436E44" w:rsidRDefault="00E32555" w:rsidP="00E32555">
      <w:pPr>
        <w:pStyle w:val="Prrafodelista"/>
        <w:numPr>
          <w:ilvl w:val="1"/>
          <w:numId w:val="5"/>
        </w:numPr>
        <w:spacing w:before="120" w:after="240" w:line="480" w:lineRule="auto"/>
        <w:jc w:val="both"/>
        <w:rPr>
          <w:rFonts w:asciiTheme="minorHAnsi" w:hAnsiTheme="minorHAnsi" w:cstheme="minorHAnsi"/>
          <w:sz w:val="22"/>
          <w:szCs w:val="22"/>
          <w:lang w:val="en-GB"/>
        </w:rPr>
      </w:pPr>
      <w:r w:rsidRPr="00436E44">
        <w:rPr>
          <w:rFonts w:asciiTheme="minorHAnsi" w:hAnsiTheme="minorHAnsi" w:cstheme="minorHAnsi"/>
          <w:sz w:val="22"/>
          <w:szCs w:val="22"/>
          <w:lang w:val="en-GB"/>
        </w:rPr>
        <w:lastRenderedPageBreak/>
        <w:t>FIRM-</w:t>
      </w:r>
      <w:r w:rsidR="00D539C6" w:rsidRPr="00436E44">
        <w:rPr>
          <w:rFonts w:asciiTheme="minorHAnsi" w:hAnsiTheme="minorHAnsi" w:cstheme="minorHAnsi"/>
          <w:sz w:val="22"/>
          <w:szCs w:val="22"/>
          <w:lang w:val="en-GB"/>
        </w:rPr>
        <w:t xml:space="preserve"> AND COUNTRY-</w:t>
      </w:r>
      <w:r w:rsidRPr="00436E44">
        <w:rPr>
          <w:rFonts w:asciiTheme="minorHAnsi" w:hAnsiTheme="minorHAnsi" w:cstheme="minorHAnsi"/>
          <w:sz w:val="22"/>
          <w:szCs w:val="22"/>
          <w:lang w:val="en-GB"/>
        </w:rPr>
        <w:t>LEVEL DETERMINANTS OF DEBT MATURITY ACROSS FIRM SIZE</w:t>
      </w:r>
    </w:p>
    <w:p w:rsidR="00D539C6" w:rsidRPr="00436E44" w:rsidRDefault="00871120" w:rsidP="00871120">
      <w:pPr>
        <w:spacing w:before="120" w:after="240" w:line="480" w:lineRule="auto"/>
        <w:jc w:val="both"/>
        <w:rPr>
          <w:rFonts w:asciiTheme="minorHAnsi" w:hAnsiTheme="minorHAnsi" w:cstheme="minorHAnsi"/>
          <w:sz w:val="22"/>
          <w:szCs w:val="22"/>
          <w:lang w:val="en-GB"/>
        </w:rPr>
      </w:pPr>
      <w:r w:rsidRPr="00436E44">
        <w:rPr>
          <w:rFonts w:asciiTheme="minorHAnsi" w:hAnsiTheme="minorHAnsi" w:cstheme="minorHAnsi"/>
          <w:sz w:val="22"/>
          <w:szCs w:val="22"/>
          <w:lang w:val="en-GB"/>
        </w:rPr>
        <w:t xml:space="preserve">Table </w:t>
      </w:r>
      <w:r w:rsidR="00D55369" w:rsidRPr="00436E44">
        <w:rPr>
          <w:rFonts w:asciiTheme="minorHAnsi" w:hAnsiTheme="minorHAnsi" w:cstheme="minorHAnsi"/>
          <w:sz w:val="22"/>
          <w:szCs w:val="22"/>
          <w:lang w:val="en-GB"/>
        </w:rPr>
        <w:t>4</w:t>
      </w:r>
      <w:r w:rsidRPr="00436E44">
        <w:rPr>
          <w:rFonts w:asciiTheme="minorHAnsi" w:hAnsiTheme="minorHAnsi" w:cstheme="minorHAnsi"/>
          <w:sz w:val="22"/>
          <w:szCs w:val="22"/>
          <w:lang w:val="en-GB"/>
        </w:rPr>
        <w:t xml:space="preserve"> analyses whether the influence of the firm-</w:t>
      </w:r>
      <w:r w:rsidR="0082014E" w:rsidRPr="00436E44">
        <w:rPr>
          <w:rFonts w:asciiTheme="minorHAnsi" w:hAnsiTheme="minorHAnsi" w:cstheme="minorHAnsi"/>
          <w:sz w:val="22"/>
          <w:szCs w:val="22"/>
          <w:lang w:val="en-GB"/>
        </w:rPr>
        <w:t xml:space="preserve"> </w:t>
      </w:r>
      <w:r w:rsidR="00D539C6" w:rsidRPr="00436E44">
        <w:rPr>
          <w:rFonts w:asciiTheme="minorHAnsi" w:hAnsiTheme="minorHAnsi" w:cstheme="minorHAnsi"/>
          <w:sz w:val="22"/>
          <w:szCs w:val="22"/>
          <w:lang w:val="en-GB"/>
        </w:rPr>
        <w:t>and country-</w:t>
      </w:r>
      <w:r w:rsidRPr="00436E44">
        <w:rPr>
          <w:rFonts w:asciiTheme="minorHAnsi" w:hAnsiTheme="minorHAnsi" w:cstheme="minorHAnsi"/>
          <w:sz w:val="22"/>
          <w:szCs w:val="22"/>
          <w:lang w:val="en-GB"/>
        </w:rPr>
        <w:t>level determinants of debt maturity is different depending on firm size</w:t>
      </w:r>
      <w:r w:rsidR="000F7585">
        <w:rPr>
          <w:rFonts w:asciiTheme="minorHAnsi" w:hAnsiTheme="minorHAnsi" w:cstheme="minorHAnsi"/>
          <w:sz w:val="22"/>
          <w:szCs w:val="22"/>
          <w:lang w:val="en-GB"/>
        </w:rPr>
        <w:t>, dividing t</w:t>
      </w:r>
      <w:r w:rsidRPr="00436E44">
        <w:rPr>
          <w:rFonts w:asciiTheme="minorHAnsi" w:hAnsiTheme="minorHAnsi" w:cstheme="minorHAnsi"/>
          <w:sz w:val="22"/>
          <w:szCs w:val="22"/>
          <w:lang w:val="en-GB"/>
        </w:rPr>
        <w:t>he overall sample into quartiles according to the amount of total assets</w:t>
      </w:r>
      <w:r w:rsidR="00D539C6" w:rsidRPr="00436E44">
        <w:rPr>
          <w:rFonts w:asciiTheme="minorHAnsi" w:hAnsiTheme="minorHAnsi" w:cstheme="minorHAnsi"/>
          <w:sz w:val="22"/>
          <w:szCs w:val="22"/>
          <w:lang w:val="en-GB"/>
        </w:rPr>
        <w:t>. Column (1) shows the results for small firms</w:t>
      </w:r>
      <w:r w:rsidR="0082014E" w:rsidRPr="00436E44">
        <w:rPr>
          <w:rFonts w:asciiTheme="minorHAnsi" w:hAnsiTheme="minorHAnsi" w:cstheme="minorHAnsi"/>
          <w:sz w:val="22"/>
          <w:szCs w:val="22"/>
          <w:lang w:val="en-GB"/>
        </w:rPr>
        <w:t>,</w:t>
      </w:r>
      <w:r w:rsidR="00D539C6" w:rsidRPr="00436E44">
        <w:rPr>
          <w:rFonts w:asciiTheme="minorHAnsi" w:hAnsiTheme="minorHAnsi" w:cstheme="minorHAnsi"/>
          <w:sz w:val="22"/>
          <w:szCs w:val="22"/>
          <w:lang w:val="en-GB"/>
        </w:rPr>
        <w:t xml:space="preserve"> </w:t>
      </w:r>
      <w:r w:rsidR="0082014E" w:rsidRPr="00436E44">
        <w:rPr>
          <w:rFonts w:asciiTheme="minorHAnsi" w:hAnsiTheme="minorHAnsi" w:cstheme="minorHAnsi"/>
          <w:sz w:val="22"/>
          <w:szCs w:val="22"/>
          <w:lang w:val="en-GB"/>
        </w:rPr>
        <w:t>which</w:t>
      </w:r>
      <w:r w:rsidR="00D539C6" w:rsidRPr="00436E44">
        <w:rPr>
          <w:rFonts w:asciiTheme="minorHAnsi" w:hAnsiTheme="minorHAnsi" w:cstheme="minorHAnsi"/>
          <w:sz w:val="22"/>
          <w:szCs w:val="22"/>
          <w:lang w:val="en-GB"/>
        </w:rPr>
        <w:t xml:space="preserve"> are those belonging to the </w:t>
      </w:r>
      <w:r w:rsidR="0082014E" w:rsidRPr="00436E44">
        <w:rPr>
          <w:rFonts w:asciiTheme="minorHAnsi" w:hAnsiTheme="minorHAnsi" w:cstheme="minorHAnsi"/>
          <w:sz w:val="22"/>
          <w:szCs w:val="22"/>
          <w:lang w:val="en-GB"/>
        </w:rPr>
        <w:t xml:space="preserve">lowest </w:t>
      </w:r>
      <w:r w:rsidR="00D539C6" w:rsidRPr="00436E44">
        <w:rPr>
          <w:rFonts w:asciiTheme="minorHAnsi" w:hAnsiTheme="minorHAnsi" w:cstheme="minorHAnsi"/>
          <w:sz w:val="22"/>
          <w:szCs w:val="22"/>
          <w:lang w:val="en-GB"/>
        </w:rPr>
        <w:t xml:space="preserve">quartile. Large firms are those belonging to the </w:t>
      </w:r>
      <w:r w:rsidR="0082014E" w:rsidRPr="00436E44">
        <w:rPr>
          <w:rFonts w:asciiTheme="minorHAnsi" w:hAnsiTheme="minorHAnsi" w:cstheme="minorHAnsi"/>
          <w:sz w:val="22"/>
          <w:szCs w:val="22"/>
          <w:lang w:val="en-GB"/>
        </w:rPr>
        <w:t xml:space="preserve">highest </w:t>
      </w:r>
      <w:r w:rsidR="00D539C6" w:rsidRPr="00436E44">
        <w:rPr>
          <w:rFonts w:asciiTheme="minorHAnsi" w:hAnsiTheme="minorHAnsi" w:cstheme="minorHAnsi"/>
          <w:sz w:val="22"/>
          <w:szCs w:val="22"/>
          <w:lang w:val="en-GB"/>
        </w:rPr>
        <w:t xml:space="preserve">quartile and their results are shown in column (3). The results for medium-sized firms, those belonging to quartiles two and three, are </w:t>
      </w:r>
      <w:r w:rsidR="00B87661">
        <w:rPr>
          <w:rFonts w:asciiTheme="minorHAnsi" w:hAnsiTheme="minorHAnsi" w:cstheme="minorHAnsi"/>
          <w:sz w:val="22"/>
          <w:szCs w:val="22"/>
          <w:lang w:val="en-GB"/>
        </w:rPr>
        <w:t xml:space="preserve">reported </w:t>
      </w:r>
      <w:r w:rsidR="00D539C6" w:rsidRPr="00436E44">
        <w:rPr>
          <w:rFonts w:asciiTheme="minorHAnsi" w:hAnsiTheme="minorHAnsi" w:cstheme="minorHAnsi"/>
          <w:sz w:val="22"/>
          <w:szCs w:val="22"/>
          <w:lang w:val="en-GB"/>
        </w:rPr>
        <w:t>in Column (2).</w:t>
      </w:r>
    </w:p>
    <w:p w:rsidR="005E37BE" w:rsidRPr="00436E44" w:rsidRDefault="005E37BE" w:rsidP="005E37BE">
      <w:pPr>
        <w:spacing w:before="120" w:after="240" w:line="480" w:lineRule="auto"/>
        <w:jc w:val="center"/>
        <w:rPr>
          <w:rFonts w:asciiTheme="minorHAnsi" w:hAnsiTheme="minorHAnsi" w:cstheme="minorHAnsi"/>
          <w:sz w:val="22"/>
          <w:szCs w:val="22"/>
          <w:lang w:val="en-GB"/>
        </w:rPr>
      </w:pPr>
      <w:r w:rsidRPr="00436E44">
        <w:rPr>
          <w:rFonts w:asciiTheme="minorHAnsi" w:hAnsiTheme="minorHAnsi" w:cstheme="minorHAnsi"/>
          <w:sz w:val="22"/>
          <w:szCs w:val="22"/>
          <w:lang w:val="en-GB"/>
        </w:rPr>
        <w:t xml:space="preserve">TABLE </w:t>
      </w:r>
      <w:r w:rsidR="00D55369" w:rsidRPr="00436E44">
        <w:rPr>
          <w:rFonts w:asciiTheme="minorHAnsi" w:hAnsiTheme="minorHAnsi" w:cstheme="minorHAnsi"/>
          <w:sz w:val="22"/>
          <w:szCs w:val="22"/>
          <w:lang w:val="en-GB"/>
        </w:rPr>
        <w:t>4</w:t>
      </w:r>
      <w:r w:rsidRPr="00436E44">
        <w:rPr>
          <w:rFonts w:asciiTheme="minorHAnsi" w:hAnsiTheme="minorHAnsi" w:cstheme="minorHAnsi"/>
          <w:sz w:val="22"/>
          <w:szCs w:val="22"/>
          <w:lang w:val="en-GB"/>
        </w:rPr>
        <w:t xml:space="preserve"> ABOUT HERE</w:t>
      </w:r>
    </w:p>
    <w:p w:rsidR="00D539C6" w:rsidRPr="00436E44" w:rsidRDefault="00871120" w:rsidP="00871120">
      <w:pPr>
        <w:spacing w:before="120" w:after="240" w:line="480" w:lineRule="auto"/>
        <w:jc w:val="both"/>
        <w:rPr>
          <w:rFonts w:asciiTheme="minorHAnsi" w:hAnsiTheme="minorHAnsi" w:cstheme="minorHAnsi"/>
          <w:sz w:val="22"/>
          <w:szCs w:val="22"/>
          <w:lang w:val="en-GB"/>
        </w:rPr>
      </w:pPr>
      <w:r w:rsidRPr="00436E44">
        <w:rPr>
          <w:rFonts w:asciiTheme="minorHAnsi" w:hAnsiTheme="minorHAnsi" w:cstheme="minorHAnsi"/>
          <w:sz w:val="22"/>
          <w:szCs w:val="22"/>
          <w:lang w:val="en-GB"/>
        </w:rPr>
        <w:t xml:space="preserve">The results shown in Table </w:t>
      </w:r>
      <w:r w:rsidR="00D55369" w:rsidRPr="00436E44">
        <w:rPr>
          <w:rFonts w:asciiTheme="minorHAnsi" w:hAnsiTheme="minorHAnsi" w:cstheme="minorHAnsi"/>
          <w:sz w:val="22"/>
          <w:szCs w:val="22"/>
          <w:lang w:val="en-GB"/>
        </w:rPr>
        <w:t>4</w:t>
      </w:r>
      <w:r w:rsidRPr="00436E44">
        <w:rPr>
          <w:rFonts w:asciiTheme="minorHAnsi" w:hAnsiTheme="minorHAnsi" w:cstheme="minorHAnsi"/>
          <w:sz w:val="22"/>
          <w:szCs w:val="22"/>
          <w:lang w:val="en-GB"/>
        </w:rPr>
        <w:t xml:space="preserve"> reveal that the effect of </w:t>
      </w:r>
      <w:r w:rsidR="00D539C6" w:rsidRPr="00436E44">
        <w:rPr>
          <w:rFonts w:asciiTheme="minorHAnsi" w:hAnsiTheme="minorHAnsi" w:cstheme="minorHAnsi"/>
          <w:sz w:val="22"/>
          <w:szCs w:val="22"/>
          <w:lang w:val="en-GB"/>
        </w:rPr>
        <w:t xml:space="preserve">firm- and </w:t>
      </w:r>
      <w:r w:rsidRPr="00436E44">
        <w:rPr>
          <w:rFonts w:asciiTheme="minorHAnsi" w:hAnsiTheme="minorHAnsi" w:cstheme="minorHAnsi"/>
          <w:sz w:val="22"/>
          <w:szCs w:val="22"/>
          <w:lang w:val="en-GB"/>
        </w:rPr>
        <w:t>country-level determinants on debt maturity is si</w:t>
      </w:r>
      <w:r w:rsidR="00D539C6" w:rsidRPr="00436E44">
        <w:rPr>
          <w:rFonts w:asciiTheme="minorHAnsi" w:hAnsiTheme="minorHAnsi" w:cstheme="minorHAnsi"/>
          <w:sz w:val="22"/>
          <w:szCs w:val="22"/>
          <w:lang w:val="en-GB"/>
        </w:rPr>
        <w:t>ze-dependent. Asset maturity has a positive and significant coefficient for smaller firms, while the coefficient is not significant in the case of large firms</w:t>
      </w:r>
      <w:r w:rsidR="0082014E" w:rsidRPr="00436E44">
        <w:rPr>
          <w:rFonts w:asciiTheme="minorHAnsi" w:hAnsiTheme="minorHAnsi" w:cstheme="minorHAnsi"/>
          <w:sz w:val="22"/>
          <w:szCs w:val="22"/>
          <w:lang w:val="en-GB"/>
        </w:rPr>
        <w:t>. This</w:t>
      </w:r>
      <w:r w:rsidR="00D539C6" w:rsidRPr="00436E44">
        <w:rPr>
          <w:rFonts w:asciiTheme="minorHAnsi" w:hAnsiTheme="minorHAnsi" w:cstheme="minorHAnsi"/>
          <w:sz w:val="22"/>
          <w:szCs w:val="22"/>
          <w:lang w:val="en-GB"/>
        </w:rPr>
        <w:t xml:space="preserve"> reveal</w:t>
      </w:r>
      <w:r w:rsidR="0082014E" w:rsidRPr="00436E44">
        <w:rPr>
          <w:rFonts w:asciiTheme="minorHAnsi" w:hAnsiTheme="minorHAnsi" w:cstheme="minorHAnsi"/>
          <w:sz w:val="22"/>
          <w:szCs w:val="22"/>
          <w:lang w:val="en-GB"/>
        </w:rPr>
        <w:t>s</w:t>
      </w:r>
      <w:r w:rsidR="00D539C6" w:rsidRPr="00436E44">
        <w:rPr>
          <w:rFonts w:asciiTheme="minorHAnsi" w:hAnsiTheme="minorHAnsi" w:cstheme="minorHAnsi"/>
          <w:sz w:val="22"/>
          <w:szCs w:val="22"/>
          <w:lang w:val="en-GB"/>
        </w:rPr>
        <w:t xml:space="preserve"> that </w:t>
      </w:r>
      <w:r w:rsidR="0082014E" w:rsidRPr="00436E44">
        <w:rPr>
          <w:rFonts w:asciiTheme="minorHAnsi" w:hAnsiTheme="minorHAnsi" w:cstheme="minorHAnsi"/>
          <w:sz w:val="22"/>
          <w:szCs w:val="22"/>
          <w:lang w:val="en-GB"/>
        </w:rPr>
        <w:t xml:space="preserve">the </w:t>
      </w:r>
      <w:r w:rsidR="00D539C6" w:rsidRPr="00436E44">
        <w:rPr>
          <w:rFonts w:asciiTheme="minorHAnsi" w:hAnsiTheme="minorHAnsi" w:cstheme="minorHAnsi"/>
          <w:sz w:val="22"/>
          <w:szCs w:val="22"/>
          <w:lang w:val="en-GB"/>
        </w:rPr>
        <w:t xml:space="preserve">asset maturity hypothesis has </w:t>
      </w:r>
      <w:r w:rsidR="003366C9" w:rsidRPr="00436E44">
        <w:rPr>
          <w:rFonts w:asciiTheme="minorHAnsi" w:hAnsiTheme="minorHAnsi" w:cstheme="minorHAnsi"/>
          <w:sz w:val="22"/>
          <w:szCs w:val="22"/>
          <w:lang w:val="en-GB"/>
        </w:rPr>
        <w:t xml:space="preserve">greater </w:t>
      </w:r>
      <w:r w:rsidR="00D539C6" w:rsidRPr="00436E44">
        <w:rPr>
          <w:rFonts w:asciiTheme="minorHAnsi" w:hAnsiTheme="minorHAnsi" w:cstheme="minorHAnsi"/>
          <w:sz w:val="22"/>
          <w:szCs w:val="22"/>
          <w:lang w:val="en-GB"/>
        </w:rPr>
        <w:t>weight in explaining corporate debt maturity in smaller firms.</w:t>
      </w:r>
    </w:p>
    <w:p w:rsidR="00871120" w:rsidRPr="00436E44" w:rsidRDefault="00D539C6" w:rsidP="00871120">
      <w:pPr>
        <w:spacing w:before="120" w:after="240" w:line="480" w:lineRule="auto"/>
        <w:jc w:val="both"/>
        <w:rPr>
          <w:rFonts w:asciiTheme="minorHAnsi" w:hAnsiTheme="minorHAnsi" w:cstheme="minorHAnsi"/>
          <w:sz w:val="22"/>
          <w:szCs w:val="22"/>
          <w:lang w:val="en-GB"/>
        </w:rPr>
      </w:pPr>
      <w:r w:rsidRPr="00436E44">
        <w:rPr>
          <w:rFonts w:asciiTheme="minorHAnsi" w:hAnsiTheme="minorHAnsi" w:cstheme="minorHAnsi"/>
          <w:sz w:val="22"/>
          <w:szCs w:val="22"/>
          <w:lang w:val="en-GB"/>
        </w:rPr>
        <w:t xml:space="preserve">The coefficient for </w:t>
      </w:r>
      <w:r w:rsidR="0082014E" w:rsidRPr="00436E44">
        <w:rPr>
          <w:rFonts w:asciiTheme="minorHAnsi" w:hAnsiTheme="minorHAnsi" w:cstheme="minorHAnsi"/>
          <w:sz w:val="22"/>
          <w:szCs w:val="22"/>
          <w:lang w:val="en-GB"/>
        </w:rPr>
        <w:t xml:space="preserve">the </w:t>
      </w:r>
      <w:r w:rsidR="001532BB" w:rsidRPr="00436E44">
        <w:rPr>
          <w:rFonts w:asciiTheme="minorHAnsi" w:hAnsiTheme="minorHAnsi" w:cstheme="minorHAnsi"/>
          <w:sz w:val="22"/>
          <w:szCs w:val="22"/>
          <w:lang w:val="en-GB"/>
        </w:rPr>
        <w:t xml:space="preserve">variable </w:t>
      </w:r>
      <w:r w:rsidRPr="00436E44">
        <w:rPr>
          <w:rFonts w:asciiTheme="minorHAnsi" w:hAnsiTheme="minorHAnsi" w:cstheme="minorHAnsi"/>
          <w:sz w:val="22"/>
          <w:szCs w:val="22"/>
          <w:lang w:val="en-GB"/>
        </w:rPr>
        <w:t>FIRM_QUALITY is negative and significant for medium</w:t>
      </w:r>
      <w:r w:rsidR="0082014E" w:rsidRPr="00436E44">
        <w:rPr>
          <w:rFonts w:asciiTheme="minorHAnsi" w:hAnsiTheme="minorHAnsi" w:cstheme="minorHAnsi"/>
          <w:sz w:val="22"/>
          <w:szCs w:val="22"/>
          <w:lang w:val="en-GB"/>
        </w:rPr>
        <w:t>-sized</w:t>
      </w:r>
      <w:r w:rsidRPr="00436E44">
        <w:rPr>
          <w:rFonts w:asciiTheme="minorHAnsi" w:hAnsiTheme="minorHAnsi" w:cstheme="minorHAnsi"/>
          <w:sz w:val="22"/>
          <w:szCs w:val="22"/>
          <w:lang w:val="en-GB"/>
        </w:rPr>
        <w:t xml:space="preserve"> and large firms. The effect </w:t>
      </w:r>
      <w:r w:rsidR="0082014E" w:rsidRPr="00436E44">
        <w:rPr>
          <w:rFonts w:asciiTheme="minorHAnsi" w:hAnsiTheme="minorHAnsi" w:cstheme="minorHAnsi"/>
          <w:sz w:val="22"/>
          <w:szCs w:val="22"/>
          <w:lang w:val="en-GB"/>
        </w:rPr>
        <w:t xml:space="preserve">of the </w:t>
      </w:r>
      <w:r w:rsidRPr="00436E44">
        <w:rPr>
          <w:rFonts w:asciiTheme="minorHAnsi" w:hAnsiTheme="minorHAnsi" w:cstheme="minorHAnsi"/>
          <w:sz w:val="22"/>
          <w:szCs w:val="22"/>
          <w:lang w:val="en-GB"/>
        </w:rPr>
        <w:t xml:space="preserve">FIRM_QUALITY variable is consistent with liquidity risk argument </w:t>
      </w:r>
      <w:r w:rsidR="001532BB" w:rsidRPr="00436E44">
        <w:rPr>
          <w:rFonts w:asciiTheme="minorHAnsi" w:hAnsiTheme="minorHAnsi" w:cstheme="minorHAnsi"/>
          <w:sz w:val="22"/>
          <w:szCs w:val="22"/>
          <w:lang w:val="en-GB"/>
        </w:rPr>
        <w:t xml:space="preserve">better </w:t>
      </w:r>
      <w:r w:rsidRPr="00436E44">
        <w:rPr>
          <w:rFonts w:asciiTheme="minorHAnsi" w:hAnsiTheme="minorHAnsi" w:cstheme="minorHAnsi"/>
          <w:sz w:val="22"/>
          <w:szCs w:val="22"/>
          <w:lang w:val="en-GB"/>
        </w:rPr>
        <w:t xml:space="preserve">explaining </w:t>
      </w:r>
      <w:r w:rsidR="001532BB">
        <w:rPr>
          <w:rFonts w:asciiTheme="minorHAnsi" w:hAnsiTheme="minorHAnsi" w:cstheme="minorHAnsi"/>
          <w:sz w:val="22"/>
          <w:szCs w:val="22"/>
          <w:lang w:val="en-GB"/>
        </w:rPr>
        <w:t xml:space="preserve">the </w:t>
      </w:r>
      <w:r w:rsidRPr="00436E44">
        <w:rPr>
          <w:rFonts w:asciiTheme="minorHAnsi" w:hAnsiTheme="minorHAnsi" w:cstheme="minorHAnsi"/>
          <w:sz w:val="22"/>
          <w:szCs w:val="22"/>
          <w:lang w:val="en-GB"/>
        </w:rPr>
        <w:t>corporate debt maturity of larger firms.</w:t>
      </w:r>
      <w:r w:rsidR="00B67864" w:rsidRPr="00436E44">
        <w:rPr>
          <w:rFonts w:asciiTheme="minorHAnsi" w:hAnsiTheme="minorHAnsi" w:cstheme="minorHAnsi"/>
          <w:sz w:val="22"/>
          <w:szCs w:val="22"/>
          <w:lang w:val="en-GB"/>
        </w:rPr>
        <w:t xml:space="preserve"> </w:t>
      </w:r>
    </w:p>
    <w:p w:rsidR="00623966" w:rsidRPr="00436E44" w:rsidRDefault="00871120" w:rsidP="00871120">
      <w:pPr>
        <w:spacing w:before="120" w:after="240" w:line="480" w:lineRule="auto"/>
        <w:jc w:val="both"/>
        <w:rPr>
          <w:rFonts w:asciiTheme="minorHAnsi" w:hAnsiTheme="minorHAnsi" w:cstheme="minorHAnsi"/>
          <w:sz w:val="22"/>
          <w:szCs w:val="22"/>
          <w:lang w:val="en-GB"/>
        </w:rPr>
      </w:pPr>
      <w:r w:rsidRPr="00436E44">
        <w:rPr>
          <w:rFonts w:asciiTheme="minorHAnsi" w:hAnsiTheme="minorHAnsi" w:cstheme="minorHAnsi"/>
          <w:sz w:val="22"/>
          <w:szCs w:val="22"/>
          <w:lang w:val="en-GB"/>
        </w:rPr>
        <w:t xml:space="preserve">Table </w:t>
      </w:r>
      <w:r w:rsidR="00B67864" w:rsidRPr="00436E44">
        <w:rPr>
          <w:rFonts w:asciiTheme="minorHAnsi" w:hAnsiTheme="minorHAnsi" w:cstheme="minorHAnsi"/>
          <w:sz w:val="22"/>
          <w:szCs w:val="22"/>
          <w:lang w:val="en-GB"/>
        </w:rPr>
        <w:t>4</w:t>
      </w:r>
      <w:r w:rsidRPr="00436E44">
        <w:rPr>
          <w:rFonts w:asciiTheme="minorHAnsi" w:hAnsiTheme="minorHAnsi" w:cstheme="minorHAnsi"/>
          <w:sz w:val="22"/>
          <w:szCs w:val="22"/>
          <w:lang w:val="en-GB"/>
        </w:rPr>
        <w:t xml:space="preserve"> </w:t>
      </w:r>
      <w:r w:rsidR="001C7537">
        <w:rPr>
          <w:rFonts w:asciiTheme="minorHAnsi" w:hAnsiTheme="minorHAnsi" w:cstheme="minorHAnsi"/>
          <w:sz w:val="22"/>
          <w:szCs w:val="22"/>
          <w:lang w:val="en-GB"/>
        </w:rPr>
        <w:t xml:space="preserve">also </w:t>
      </w:r>
      <w:r w:rsidR="009E698C" w:rsidRPr="00436E44">
        <w:rPr>
          <w:rFonts w:asciiTheme="minorHAnsi" w:hAnsiTheme="minorHAnsi" w:cstheme="minorHAnsi"/>
          <w:sz w:val="22"/>
          <w:szCs w:val="22"/>
          <w:lang w:val="en-GB"/>
        </w:rPr>
        <w:t>r</w:t>
      </w:r>
      <w:r w:rsidRPr="00436E44">
        <w:rPr>
          <w:rFonts w:asciiTheme="minorHAnsi" w:hAnsiTheme="minorHAnsi" w:cstheme="minorHAnsi"/>
          <w:sz w:val="22"/>
          <w:szCs w:val="22"/>
          <w:lang w:val="en-GB"/>
        </w:rPr>
        <w:t xml:space="preserve">eveals that there are differences between large and small firms </w:t>
      </w:r>
      <w:r w:rsidR="00D11BA6" w:rsidRPr="00436E44">
        <w:rPr>
          <w:rFonts w:asciiTheme="minorHAnsi" w:hAnsiTheme="minorHAnsi" w:cstheme="minorHAnsi"/>
          <w:sz w:val="22"/>
          <w:szCs w:val="22"/>
          <w:lang w:val="en-GB"/>
        </w:rPr>
        <w:t>according to</w:t>
      </w:r>
      <w:r w:rsidRPr="00436E44">
        <w:rPr>
          <w:rFonts w:asciiTheme="minorHAnsi" w:hAnsiTheme="minorHAnsi" w:cstheme="minorHAnsi"/>
          <w:sz w:val="22"/>
          <w:szCs w:val="22"/>
          <w:lang w:val="en-GB"/>
        </w:rPr>
        <w:t xml:space="preserve"> the country-level variables. </w:t>
      </w:r>
      <w:r w:rsidR="00623966" w:rsidRPr="00436E44">
        <w:rPr>
          <w:rFonts w:asciiTheme="minorHAnsi" w:hAnsiTheme="minorHAnsi" w:cstheme="minorHAnsi"/>
          <w:sz w:val="22"/>
          <w:szCs w:val="22"/>
          <w:lang w:val="en-GB"/>
        </w:rPr>
        <w:t xml:space="preserve">The main interest </w:t>
      </w:r>
      <w:r w:rsidR="0082014E" w:rsidRPr="00436E44">
        <w:rPr>
          <w:rFonts w:asciiTheme="minorHAnsi" w:hAnsiTheme="minorHAnsi" w:cstheme="minorHAnsi"/>
          <w:sz w:val="22"/>
          <w:szCs w:val="22"/>
          <w:lang w:val="en-GB"/>
        </w:rPr>
        <w:t>lies in testing whether</w:t>
      </w:r>
      <w:r w:rsidR="00623966" w:rsidRPr="00436E44">
        <w:rPr>
          <w:rFonts w:asciiTheme="minorHAnsi" w:hAnsiTheme="minorHAnsi" w:cstheme="minorHAnsi"/>
          <w:sz w:val="22"/>
          <w:szCs w:val="22"/>
          <w:lang w:val="en-GB"/>
        </w:rPr>
        <w:t xml:space="preserve"> the </w:t>
      </w:r>
      <w:r w:rsidR="003366C9" w:rsidRPr="00436E44">
        <w:rPr>
          <w:rFonts w:asciiTheme="minorHAnsi" w:hAnsiTheme="minorHAnsi" w:cstheme="minorHAnsi"/>
          <w:sz w:val="22"/>
          <w:szCs w:val="22"/>
          <w:lang w:val="en-GB"/>
        </w:rPr>
        <w:t xml:space="preserve">weight </w:t>
      </w:r>
      <w:r w:rsidR="00623966" w:rsidRPr="00436E44">
        <w:rPr>
          <w:rFonts w:asciiTheme="minorHAnsi" w:hAnsiTheme="minorHAnsi" w:cstheme="minorHAnsi"/>
          <w:sz w:val="22"/>
          <w:szCs w:val="22"/>
          <w:lang w:val="en-GB"/>
        </w:rPr>
        <w:t xml:space="preserve">of </w:t>
      </w:r>
      <w:r w:rsidR="0082014E" w:rsidRPr="00436E44">
        <w:rPr>
          <w:rFonts w:asciiTheme="minorHAnsi" w:hAnsiTheme="minorHAnsi" w:cstheme="minorHAnsi"/>
          <w:sz w:val="22"/>
          <w:szCs w:val="22"/>
          <w:lang w:val="en-GB"/>
        </w:rPr>
        <w:t xml:space="preserve">the </w:t>
      </w:r>
      <w:r w:rsidR="00623966" w:rsidRPr="00436E44">
        <w:rPr>
          <w:rFonts w:asciiTheme="minorHAnsi" w:hAnsiTheme="minorHAnsi" w:cstheme="minorHAnsi"/>
          <w:sz w:val="22"/>
          <w:szCs w:val="22"/>
          <w:lang w:val="en-GB"/>
        </w:rPr>
        <w:t xml:space="preserve">country’s banking structure on corporate debt maturity is different according to firm size. In </w:t>
      </w:r>
      <w:r w:rsidR="0082014E" w:rsidRPr="00436E44">
        <w:rPr>
          <w:rFonts w:asciiTheme="minorHAnsi" w:hAnsiTheme="minorHAnsi" w:cstheme="minorHAnsi"/>
          <w:sz w:val="22"/>
          <w:szCs w:val="22"/>
          <w:lang w:val="en-GB"/>
        </w:rPr>
        <w:t xml:space="preserve">line </w:t>
      </w:r>
      <w:r w:rsidR="00623966" w:rsidRPr="00436E44">
        <w:rPr>
          <w:rFonts w:asciiTheme="minorHAnsi" w:hAnsiTheme="minorHAnsi" w:cstheme="minorHAnsi"/>
          <w:sz w:val="22"/>
          <w:szCs w:val="22"/>
          <w:lang w:val="en-GB"/>
        </w:rPr>
        <w:t>with our hypothesis H1</w:t>
      </w:r>
      <w:r w:rsidR="0082014E" w:rsidRPr="00436E44">
        <w:rPr>
          <w:rFonts w:asciiTheme="minorHAnsi" w:hAnsiTheme="minorHAnsi" w:cstheme="minorHAnsi"/>
          <w:sz w:val="22"/>
          <w:szCs w:val="22"/>
          <w:lang w:val="en-GB"/>
        </w:rPr>
        <w:t>,</w:t>
      </w:r>
      <w:r w:rsidR="00623966" w:rsidRPr="00436E44">
        <w:rPr>
          <w:rFonts w:asciiTheme="minorHAnsi" w:hAnsiTheme="minorHAnsi" w:cstheme="minorHAnsi"/>
          <w:sz w:val="22"/>
          <w:szCs w:val="22"/>
          <w:lang w:val="en-GB"/>
        </w:rPr>
        <w:t xml:space="preserve"> the weight of banks in the financing of the private sector has a negative relationship with corporate debt maturity for smaller firms, </w:t>
      </w:r>
      <w:r w:rsidR="0082014E" w:rsidRPr="00436E44">
        <w:rPr>
          <w:rFonts w:asciiTheme="minorHAnsi" w:hAnsiTheme="minorHAnsi" w:cstheme="minorHAnsi"/>
          <w:sz w:val="22"/>
          <w:szCs w:val="22"/>
          <w:lang w:val="en-GB"/>
        </w:rPr>
        <w:t xml:space="preserve">while </w:t>
      </w:r>
      <w:r w:rsidR="00623966" w:rsidRPr="00436E44">
        <w:rPr>
          <w:rFonts w:asciiTheme="minorHAnsi" w:hAnsiTheme="minorHAnsi" w:cstheme="minorHAnsi"/>
          <w:sz w:val="22"/>
          <w:szCs w:val="22"/>
          <w:lang w:val="en-GB"/>
        </w:rPr>
        <w:t xml:space="preserve">this variable is not significant in the case of large firms. These results are consistent with the existence of a negative relationship between the weight of banks in the economy and debt maturity (Fan </w:t>
      </w:r>
      <w:r w:rsidR="00623966" w:rsidRPr="00436E44">
        <w:rPr>
          <w:rFonts w:asciiTheme="minorHAnsi" w:hAnsiTheme="minorHAnsi" w:cstheme="minorHAnsi"/>
          <w:i/>
          <w:sz w:val="22"/>
          <w:szCs w:val="22"/>
          <w:lang w:val="en-GB"/>
        </w:rPr>
        <w:t>et al</w:t>
      </w:r>
      <w:r w:rsidR="00623966" w:rsidRPr="00436E44">
        <w:rPr>
          <w:rFonts w:asciiTheme="minorHAnsi" w:hAnsiTheme="minorHAnsi" w:cstheme="minorHAnsi"/>
          <w:sz w:val="22"/>
          <w:szCs w:val="22"/>
          <w:lang w:val="en-GB"/>
        </w:rPr>
        <w:t>., 2012)</w:t>
      </w:r>
      <w:r w:rsidR="0082014E" w:rsidRPr="00436E44">
        <w:rPr>
          <w:rFonts w:asciiTheme="minorHAnsi" w:hAnsiTheme="minorHAnsi" w:cstheme="minorHAnsi"/>
          <w:sz w:val="22"/>
          <w:szCs w:val="22"/>
          <w:lang w:val="en-GB"/>
        </w:rPr>
        <w:t>,</w:t>
      </w:r>
      <w:r w:rsidR="00623966" w:rsidRPr="00436E44">
        <w:rPr>
          <w:rFonts w:asciiTheme="minorHAnsi" w:hAnsiTheme="minorHAnsi" w:cstheme="minorHAnsi"/>
          <w:sz w:val="22"/>
          <w:szCs w:val="22"/>
          <w:lang w:val="en-GB"/>
        </w:rPr>
        <w:t xml:space="preserve"> only </w:t>
      </w:r>
      <w:r w:rsidR="0082014E" w:rsidRPr="00436E44">
        <w:rPr>
          <w:rFonts w:asciiTheme="minorHAnsi" w:hAnsiTheme="minorHAnsi" w:cstheme="minorHAnsi"/>
          <w:sz w:val="22"/>
          <w:szCs w:val="22"/>
          <w:lang w:val="en-GB"/>
        </w:rPr>
        <w:t xml:space="preserve">being </w:t>
      </w:r>
      <w:r w:rsidR="00623966" w:rsidRPr="00436E44">
        <w:rPr>
          <w:rFonts w:asciiTheme="minorHAnsi" w:hAnsiTheme="minorHAnsi" w:cstheme="minorHAnsi"/>
          <w:sz w:val="22"/>
          <w:szCs w:val="22"/>
          <w:lang w:val="en-GB"/>
        </w:rPr>
        <w:t>important in the case of smaller firms.</w:t>
      </w:r>
    </w:p>
    <w:p w:rsidR="00623966" w:rsidRPr="00190CF3" w:rsidRDefault="00623966" w:rsidP="00871120">
      <w:pPr>
        <w:spacing w:before="120" w:after="240" w:line="480" w:lineRule="auto"/>
        <w:jc w:val="both"/>
        <w:rPr>
          <w:rFonts w:asciiTheme="minorHAnsi" w:hAnsiTheme="minorHAnsi" w:cstheme="minorHAnsi"/>
          <w:sz w:val="22"/>
          <w:szCs w:val="22"/>
          <w:lang w:val="en-GB"/>
        </w:rPr>
      </w:pPr>
      <w:r w:rsidRPr="00436E44">
        <w:rPr>
          <w:rFonts w:asciiTheme="minorHAnsi" w:hAnsiTheme="minorHAnsi" w:cstheme="minorHAnsi"/>
          <w:sz w:val="22"/>
          <w:szCs w:val="22"/>
          <w:lang w:val="en-GB"/>
        </w:rPr>
        <w:lastRenderedPageBreak/>
        <w:t xml:space="preserve">As for </w:t>
      </w:r>
      <w:r w:rsidR="0082014E" w:rsidRPr="00436E44">
        <w:rPr>
          <w:rFonts w:asciiTheme="minorHAnsi" w:hAnsiTheme="minorHAnsi" w:cstheme="minorHAnsi"/>
          <w:sz w:val="22"/>
          <w:szCs w:val="22"/>
          <w:lang w:val="en-GB"/>
        </w:rPr>
        <w:t xml:space="preserve">the </w:t>
      </w:r>
      <w:r w:rsidR="001532BB" w:rsidRPr="00436E44">
        <w:rPr>
          <w:rFonts w:asciiTheme="minorHAnsi" w:hAnsiTheme="minorHAnsi" w:cstheme="minorHAnsi"/>
          <w:sz w:val="22"/>
          <w:szCs w:val="22"/>
          <w:lang w:val="en-GB"/>
        </w:rPr>
        <w:t xml:space="preserve">variable </w:t>
      </w:r>
      <w:r w:rsidRPr="00436E44">
        <w:rPr>
          <w:rFonts w:asciiTheme="minorHAnsi" w:hAnsiTheme="minorHAnsi" w:cstheme="minorHAnsi"/>
          <w:sz w:val="22"/>
          <w:szCs w:val="22"/>
          <w:lang w:val="en-GB"/>
        </w:rPr>
        <w:t>BANK_CONC, we obtain coefficients that are positive and significant for small and medium-size</w:t>
      </w:r>
      <w:r w:rsidR="0082014E" w:rsidRPr="00436E44">
        <w:rPr>
          <w:rFonts w:asciiTheme="minorHAnsi" w:hAnsiTheme="minorHAnsi" w:cstheme="minorHAnsi"/>
          <w:sz w:val="22"/>
          <w:szCs w:val="22"/>
          <w:lang w:val="en-GB"/>
        </w:rPr>
        <w:t>d</w:t>
      </w:r>
      <w:r w:rsidRPr="00436E44">
        <w:rPr>
          <w:rFonts w:asciiTheme="minorHAnsi" w:hAnsiTheme="minorHAnsi" w:cstheme="minorHAnsi"/>
          <w:sz w:val="22"/>
          <w:szCs w:val="22"/>
          <w:lang w:val="en-GB"/>
        </w:rPr>
        <w:t xml:space="preserve"> firms, while the influence is not significant for large firms. In line with the expected result (Hypothesis H2c), bank concentration serves to mitigate information asymmetries between creditors and debtors</w:t>
      </w:r>
      <w:r w:rsidR="0082014E" w:rsidRPr="00436E44">
        <w:rPr>
          <w:rFonts w:asciiTheme="minorHAnsi" w:hAnsiTheme="minorHAnsi" w:cstheme="minorHAnsi"/>
          <w:sz w:val="22"/>
          <w:szCs w:val="22"/>
          <w:lang w:val="en-GB"/>
        </w:rPr>
        <w:t>. Furthermore</w:t>
      </w:r>
      <w:r w:rsidRPr="00436E44">
        <w:rPr>
          <w:rFonts w:asciiTheme="minorHAnsi" w:hAnsiTheme="minorHAnsi" w:cstheme="minorHAnsi"/>
          <w:sz w:val="22"/>
          <w:szCs w:val="22"/>
          <w:lang w:val="en-GB"/>
        </w:rPr>
        <w:t xml:space="preserve">, </w:t>
      </w:r>
      <w:r w:rsidR="003366C9" w:rsidRPr="00436E44">
        <w:rPr>
          <w:rFonts w:asciiTheme="minorHAnsi" w:hAnsiTheme="minorHAnsi" w:cstheme="minorHAnsi"/>
          <w:sz w:val="22"/>
          <w:szCs w:val="22"/>
          <w:lang w:val="en-GB"/>
        </w:rPr>
        <w:t>because</w:t>
      </w:r>
      <w:r w:rsidRPr="00436E44">
        <w:rPr>
          <w:rFonts w:asciiTheme="minorHAnsi" w:hAnsiTheme="minorHAnsi" w:cstheme="minorHAnsi"/>
          <w:sz w:val="22"/>
          <w:szCs w:val="22"/>
          <w:lang w:val="en-GB"/>
        </w:rPr>
        <w:t xml:space="preserve"> information asymmetries are greater in small firms, these will benefit more from </w:t>
      </w:r>
      <w:r w:rsidRPr="00190CF3">
        <w:rPr>
          <w:rFonts w:asciiTheme="minorHAnsi" w:hAnsiTheme="minorHAnsi" w:cstheme="minorHAnsi"/>
          <w:sz w:val="22"/>
          <w:szCs w:val="22"/>
          <w:lang w:val="en-GB"/>
        </w:rPr>
        <w:t xml:space="preserve">bank concentration. This result is </w:t>
      </w:r>
      <w:r w:rsidR="0082014E" w:rsidRPr="00190CF3">
        <w:rPr>
          <w:rFonts w:asciiTheme="minorHAnsi" w:hAnsiTheme="minorHAnsi" w:cstheme="minorHAnsi"/>
          <w:sz w:val="22"/>
          <w:szCs w:val="22"/>
          <w:lang w:val="en-GB"/>
        </w:rPr>
        <w:t xml:space="preserve">in line </w:t>
      </w:r>
      <w:r w:rsidRPr="00190CF3">
        <w:rPr>
          <w:rFonts w:asciiTheme="minorHAnsi" w:hAnsiTheme="minorHAnsi" w:cstheme="minorHAnsi"/>
          <w:sz w:val="22"/>
          <w:szCs w:val="22"/>
          <w:lang w:val="en-GB"/>
        </w:rPr>
        <w:t xml:space="preserve">with the evidence </w:t>
      </w:r>
      <w:r w:rsidR="0082014E" w:rsidRPr="00190CF3">
        <w:rPr>
          <w:rFonts w:asciiTheme="minorHAnsi" w:hAnsiTheme="minorHAnsi" w:cstheme="minorHAnsi"/>
          <w:sz w:val="22"/>
          <w:szCs w:val="22"/>
          <w:lang w:val="en-GB"/>
        </w:rPr>
        <w:t xml:space="preserve">provided by Petersen and Rajan (1995) </w:t>
      </w:r>
      <w:r w:rsidRPr="00190CF3">
        <w:rPr>
          <w:rFonts w:asciiTheme="minorHAnsi" w:hAnsiTheme="minorHAnsi" w:cstheme="minorHAnsi"/>
          <w:sz w:val="22"/>
          <w:szCs w:val="22"/>
          <w:lang w:val="en-GB"/>
        </w:rPr>
        <w:t>of greater financial constraints for US small firms in less concentrated credit markets.</w:t>
      </w:r>
    </w:p>
    <w:p w:rsidR="00605D56" w:rsidRPr="0083276A" w:rsidRDefault="00605D56" w:rsidP="00605D56">
      <w:pPr>
        <w:spacing w:before="120" w:after="240" w:line="480" w:lineRule="auto"/>
        <w:jc w:val="both"/>
        <w:rPr>
          <w:rFonts w:asciiTheme="minorHAnsi" w:hAnsiTheme="minorHAnsi" w:cstheme="minorHAnsi"/>
          <w:sz w:val="22"/>
          <w:szCs w:val="22"/>
          <w:lang w:val="en-GB"/>
        </w:rPr>
      </w:pPr>
      <w:r w:rsidRPr="00190CF3">
        <w:rPr>
          <w:rFonts w:asciiTheme="minorHAnsi" w:hAnsiTheme="minorHAnsi" w:cstheme="minorHAnsi"/>
          <w:sz w:val="22"/>
          <w:szCs w:val="22"/>
          <w:lang w:val="en-GB"/>
        </w:rPr>
        <w:t>Similar to what we found in Table 3, debt maturity increases with RULE_OF_LAW regardless of firm size</w:t>
      </w:r>
      <w:r w:rsidR="001C7537">
        <w:rPr>
          <w:rFonts w:asciiTheme="minorHAnsi" w:hAnsiTheme="minorHAnsi" w:cstheme="minorHAnsi"/>
          <w:sz w:val="22"/>
          <w:szCs w:val="22"/>
          <w:lang w:val="en-GB"/>
        </w:rPr>
        <w:t>.</w:t>
      </w:r>
      <w:r w:rsidRPr="00190CF3">
        <w:rPr>
          <w:rFonts w:asciiTheme="minorHAnsi" w:hAnsiTheme="minorHAnsi" w:cstheme="minorHAnsi"/>
          <w:sz w:val="22"/>
          <w:szCs w:val="22"/>
          <w:lang w:val="en-GB"/>
        </w:rPr>
        <w:t xml:space="preserve"> </w:t>
      </w:r>
      <w:r w:rsidR="0083276A" w:rsidRPr="00190CF3">
        <w:rPr>
          <w:rFonts w:asciiTheme="minorHAnsi" w:hAnsiTheme="minorHAnsi" w:cstheme="minorHAnsi"/>
          <w:sz w:val="22"/>
          <w:szCs w:val="22"/>
          <w:lang w:val="en-GB"/>
        </w:rPr>
        <w:t xml:space="preserve">As for the </w:t>
      </w:r>
      <w:r w:rsidR="001532BB" w:rsidRPr="00190CF3">
        <w:rPr>
          <w:rFonts w:asciiTheme="minorHAnsi" w:hAnsiTheme="minorHAnsi" w:cstheme="minorHAnsi"/>
          <w:sz w:val="22"/>
          <w:szCs w:val="22"/>
          <w:lang w:val="en-GB"/>
        </w:rPr>
        <w:t xml:space="preserve">variable </w:t>
      </w:r>
      <w:r w:rsidR="0083276A" w:rsidRPr="00190CF3">
        <w:rPr>
          <w:rFonts w:asciiTheme="minorHAnsi" w:hAnsiTheme="minorHAnsi" w:cstheme="minorHAnsi"/>
          <w:sz w:val="22"/>
          <w:szCs w:val="22"/>
          <w:lang w:val="en-GB"/>
        </w:rPr>
        <w:t xml:space="preserve">C_RIGHTS, the results show that the influence of the protection of creditors’ rights varies widely across firm size. </w:t>
      </w:r>
      <w:r w:rsidRPr="00190CF3">
        <w:rPr>
          <w:rFonts w:asciiTheme="minorHAnsi" w:hAnsiTheme="minorHAnsi" w:cstheme="minorHAnsi"/>
          <w:sz w:val="22"/>
          <w:szCs w:val="22"/>
          <w:lang w:val="en-GB"/>
        </w:rPr>
        <w:t>For medium</w:t>
      </w:r>
      <w:r w:rsidR="0082014E" w:rsidRPr="00190CF3">
        <w:rPr>
          <w:rFonts w:asciiTheme="minorHAnsi" w:hAnsiTheme="minorHAnsi" w:cstheme="minorHAnsi"/>
          <w:sz w:val="22"/>
          <w:szCs w:val="22"/>
          <w:lang w:val="en-GB"/>
        </w:rPr>
        <w:t>-sized</w:t>
      </w:r>
      <w:r w:rsidRPr="00190CF3">
        <w:rPr>
          <w:rFonts w:asciiTheme="minorHAnsi" w:hAnsiTheme="minorHAnsi" w:cstheme="minorHAnsi"/>
          <w:sz w:val="22"/>
          <w:szCs w:val="22"/>
          <w:lang w:val="en-GB"/>
        </w:rPr>
        <w:t xml:space="preserve"> and large firms</w:t>
      </w:r>
      <w:r w:rsidR="0082014E" w:rsidRPr="00190CF3">
        <w:rPr>
          <w:rFonts w:asciiTheme="minorHAnsi" w:hAnsiTheme="minorHAnsi" w:cstheme="minorHAnsi"/>
          <w:sz w:val="22"/>
          <w:szCs w:val="22"/>
          <w:lang w:val="en-GB"/>
        </w:rPr>
        <w:t>,</w:t>
      </w:r>
      <w:r w:rsidRPr="00190CF3">
        <w:rPr>
          <w:rFonts w:asciiTheme="minorHAnsi" w:hAnsiTheme="minorHAnsi" w:cstheme="minorHAnsi"/>
          <w:sz w:val="22"/>
          <w:szCs w:val="22"/>
          <w:lang w:val="en-GB"/>
        </w:rPr>
        <w:t xml:space="preserve"> the </w:t>
      </w:r>
      <w:r w:rsidR="0083276A" w:rsidRPr="00190CF3">
        <w:rPr>
          <w:rFonts w:asciiTheme="minorHAnsi" w:hAnsiTheme="minorHAnsi" w:cstheme="minorHAnsi"/>
          <w:sz w:val="22"/>
          <w:szCs w:val="22"/>
          <w:lang w:val="en-GB"/>
        </w:rPr>
        <w:t>influence of the protection of creditors’ rights is positive, in line with more favourable terms of credit when the rights of creditors are strongly protected, and negative in the case of small firms.</w:t>
      </w:r>
      <w:r w:rsidR="0083276A" w:rsidRPr="0083276A">
        <w:rPr>
          <w:rFonts w:asciiTheme="minorHAnsi" w:hAnsiTheme="minorHAnsi" w:cstheme="minorHAnsi"/>
          <w:sz w:val="22"/>
          <w:szCs w:val="22"/>
          <w:lang w:val="en-GB"/>
        </w:rPr>
        <w:t xml:space="preserve"> </w:t>
      </w:r>
    </w:p>
    <w:p w:rsidR="00871120" w:rsidRPr="00E32555" w:rsidRDefault="00E32555" w:rsidP="00E32555">
      <w:pPr>
        <w:pStyle w:val="Prrafodelista"/>
        <w:numPr>
          <w:ilvl w:val="0"/>
          <w:numId w:val="5"/>
        </w:numPr>
        <w:spacing w:before="120" w:after="240" w:line="480" w:lineRule="auto"/>
        <w:jc w:val="both"/>
        <w:rPr>
          <w:rFonts w:asciiTheme="minorHAnsi" w:hAnsiTheme="minorHAnsi" w:cstheme="minorHAnsi"/>
          <w:b/>
          <w:sz w:val="22"/>
          <w:szCs w:val="22"/>
          <w:lang w:val="en-GB"/>
        </w:rPr>
      </w:pPr>
      <w:r w:rsidRPr="00E32555">
        <w:rPr>
          <w:rFonts w:asciiTheme="minorHAnsi" w:hAnsiTheme="minorHAnsi" w:cstheme="minorHAnsi"/>
          <w:b/>
          <w:sz w:val="22"/>
          <w:szCs w:val="22"/>
          <w:lang w:val="en-GB"/>
        </w:rPr>
        <w:t>CONCLUSIONS</w:t>
      </w:r>
    </w:p>
    <w:p w:rsidR="00871120" w:rsidRPr="002B2630" w:rsidRDefault="00871120" w:rsidP="00871120">
      <w:pPr>
        <w:spacing w:before="120" w:after="240" w:line="480" w:lineRule="auto"/>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 xml:space="preserve">This paper analyses the effect of firm- and country-level </w:t>
      </w:r>
      <w:r w:rsidR="00EA4BB2">
        <w:rPr>
          <w:rFonts w:asciiTheme="minorHAnsi" w:hAnsiTheme="minorHAnsi" w:cstheme="minorHAnsi"/>
          <w:sz w:val="22"/>
          <w:szCs w:val="22"/>
          <w:lang w:val="en-GB"/>
        </w:rPr>
        <w:t>determinants</w:t>
      </w:r>
      <w:r w:rsidRPr="002B2630">
        <w:rPr>
          <w:rFonts w:asciiTheme="minorHAnsi" w:hAnsiTheme="minorHAnsi" w:cstheme="minorHAnsi"/>
          <w:sz w:val="22"/>
          <w:szCs w:val="22"/>
          <w:lang w:val="en-GB"/>
        </w:rPr>
        <w:t xml:space="preserve"> on corporate debt maturity</w:t>
      </w:r>
      <w:r w:rsidR="00EA4BB2">
        <w:rPr>
          <w:rFonts w:asciiTheme="minorHAnsi" w:hAnsiTheme="minorHAnsi" w:cstheme="minorHAnsi"/>
          <w:sz w:val="22"/>
          <w:szCs w:val="22"/>
          <w:lang w:val="en-GB"/>
        </w:rPr>
        <w:t>, highlighting</w:t>
      </w:r>
      <w:r w:rsidRPr="002B2630">
        <w:rPr>
          <w:rFonts w:asciiTheme="minorHAnsi" w:hAnsiTheme="minorHAnsi" w:cstheme="minorHAnsi"/>
          <w:sz w:val="22"/>
          <w:szCs w:val="22"/>
          <w:lang w:val="en-GB"/>
        </w:rPr>
        <w:t xml:space="preserve"> the relevance of the matching </w:t>
      </w:r>
      <w:r w:rsidR="009E698C">
        <w:rPr>
          <w:rFonts w:asciiTheme="minorHAnsi" w:hAnsiTheme="minorHAnsi" w:cstheme="minorHAnsi"/>
          <w:sz w:val="22"/>
          <w:szCs w:val="22"/>
          <w:lang w:val="en-GB"/>
        </w:rPr>
        <w:t xml:space="preserve">and liquidity risk </w:t>
      </w:r>
      <w:r w:rsidRPr="002B2630">
        <w:rPr>
          <w:rFonts w:asciiTheme="minorHAnsi" w:hAnsiTheme="minorHAnsi" w:cstheme="minorHAnsi"/>
          <w:sz w:val="22"/>
          <w:szCs w:val="22"/>
          <w:lang w:val="en-GB"/>
        </w:rPr>
        <w:t>hypothes</w:t>
      </w:r>
      <w:r w:rsidR="009E698C">
        <w:rPr>
          <w:rFonts w:asciiTheme="minorHAnsi" w:hAnsiTheme="minorHAnsi" w:cstheme="minorHAnsi"/>
          <w:sz w:val="22"/>
          <w:szCs w:val="22"/>
          <w:lang w:val="en-GB"/>
        </w:rPr>
        <w:t>e</w:t>
      </w:r>
      <w:r w:rsidRPr="002B2630">
        <w:rPr>
          <w:rFonts w:asciiTheme="minorHAnsi" w:hAnsiTheme="minorHAnsi" w:cstheme="minorHAnsi"/>
          <w:sz w:val="22"/>
          <w:szCs w:val="22"/>
          <w:lang w:val="en-GB"/>
        </w:rPr>
        <w:t>s. As regards the role of institutional and legal and banking structure variables, the results reveal that the efficiency of the legal system, the protection of creditor</w:t>
      </w:r>
      <w:r>
        <w:rPr>
          <w:rFonts w:asciiTheme="minorHAnsi" w:hAnsiTheme="minorHAnsi" w:cstheme="minorHAnsi"/>
          <w:sz w:val="22"/>
          <w:szCs w:val="22"/>
          <w:lang w:val="en-GB"/>
        </w:rPr>
        <w:t>s’</w:t>
      </w:r>
      <w:r w:rsidRPr="002B2630">
        <w:rPr>
          <w:rFonts w:asciiTheme="minorHAnsi" w:hAnsiTheme="minorHAnsi" w:cstheme="minorHAnsi"/>
          <w:sz w:val="22"/>
          <w:szCs w:val="22"/>
          <w:lang w:val="en-GB"/>
        </w:rPr>
        <w:t xml:space="preserve"> rights</w:t>
      </w:r>
      <w:r w:rsidR="001532BB">
        <w:rPr>
          <w:rFonts w:asciiTheme="minorHAnsi" w:hAnsiTheme="minorHAnsi" w:cstheme="minorHAnsi"/>
          <w:sz w:val="22"/>
          <w:szCs w:val="22"/>
          <w:lang w:val="en-GB"/>
        </w:rPr>
        <w:t>,</w:t>
      </w:r>
      <w:r w:rsidRPr="002B2630">
        <w:rPr>
          <w:rFonts w:asciiTheme="minorHAnsi" w:hAnsiTheme="minorHAnsi" w:cstheme="minorHAnsi"/>
          <w:sz w:val="22"/>
          <w:szCs w:val="22"/>
          <w:lang w:val="en-GB"/>
        </w:rPr>
        <w:t xml:space="preserve"> and bank concentration have a positive influence on debt maturity. First, the positive effect of legal quality shows that firms use more short-term debt in countries in which the legal system does not provide proper protection. Second, creditors are willing to lend on more favourable terms when their rights are strongly protected. Third, the positive relationship between bank concentration and debt maturity provides evidence in line with the reduction of information asymmetries as a consequence of relationship banking. </w:t>
      </w:r>
      <w:r w:rsidR="00CE4B7B">
        <w:rPr>
          <w:rFonts w:asciiTheme="minorHAnsi" w:hAnsiTheme="minorHAnsi" w:cstheme="minorHAnsi"/>
          <w:sz w:val="22"/>
          <w:szCs w:val="22"/>
          <w:lang w:val="en-GB"/>
        </w:rPr>
        <w:t xml:space="preserve">However, </w:t>
      </w:r>
      <w:r w:rsidR="00CE4B7B" w:rsidRPr="006A02C1">
        <w:rPr>
          <w:rFonts w:asciiTheme="minorHAnsi" w:hAnsiTheme="minorHAnsi" w:cstheme="minorHAnsi"/>
          <w:sz w:val="22"/>
          <w:szCs w:val="22"/>
          <w:lang w:val="en-GB"/>
        </w:rPr>
        <w:t xml:space="preserve">the positive effect of bank concentration on debt maturity is reduced in countries with a high quality institutional environment. </w:t>
      </w:r>
      <w:r>
        <w:rPr>
          <w:rFonts w:asciiTheme="minorHAnsi" w:hAnsiTheme="minorHAnsi" w:cstheme="minorHAnsi"/>
          <w:sz w:val="22"/>
          <w:szCs w:val="22"/>
          <w:lang w:val="en-GB"/>
        </w:rPr>
        <w:t>Furthermore</w:t>
      </w:r>
      <w:r w:rsidRPr="002B2630">
        <w:rPr>
          <w:rFonts w:asciiTheme="minorHAnsi" w:hAnsiTheme="minorHAnsi" w:cstheme="minorHAnsi"/>
          <w:sz w:val="22"/>
          <w:szCs w:val="22"/>
          <w:lang w:val="en-GB"/>
        </w:rPr>
        <w:t>, the weight of banks in the economy show</w:t>
      </w:r>
      <w:r w:rsidR="00CE4B7B">
        <w:rPr>
          <w:rFonts w:asciiTheme="minorHAnsi" w:hAnsiTheme="minorHAnsi" w:cstheme="minorHAnsi"/>
          <w:sz w:val="22"/>
          <w:szCs w:val="22"/>
          <w:lang w:val="en-GB"/>
        </w:rPr>
        <w:t>s</w:t>
      </w:r>
      <w:r w:rsidRPr="002B2630">
        <w:rPr>
          <w:rFonts w:asciiTheme="minorHAnsi" w:hAnsiTheme="minorHAnsi" w:cstheme="minorHAnsi"/>
          <w:sz w:val="22"/>
          <w:szCs w:val="22"/>
          <w:lang w:val="en-GB"/>
        </w:rPr>
        <w:t xml:space="preserve"> a negative relationship to debt </w:t>
      </w:r>
      <w:r w:rsidRPr="002B2630">
        <w:rPr>
          <w:rFonts w:asciiTheme="minorHAnsi" w:hAnsiTheme="minorHAnsi" w:cstheme="minorHAnsi"/>
          <w:sz w:val="22"/>
          <w:szCs w:val="22"/>
          <w:lang w:val="en-GB"/>
        </w:rPr>
        <w:lastRenderedPageBreak/>
        <w:t>maturity. The weight of banks in the economy incentivizes the use of short-term debt in a way that is consistent with the preferences of banks for short-term debt having an effect on the firms’ maturity structures.</w:t>
      </w:r>
    </w:p>
    <w:p w:rsidR="00871120" w:rsidRPr="002B2630" w:rsidRDefault="00931274" w:rsidP="00871120">
      <w:pPr>
        <w:spacing w:before="120" w:after="240" w:line="480" w:lineRule="auto"/>
        <w:jc w:val="both"/>
        <w:rPr>
          <w:rFonts w:asciiTheme="minorHAnsi" w:hAnsiTheme="minorHAnsi" w:cstheme="minorHAnsi"/>
          <w:sz w:val="22"/>
          <w:szCs w:val="22"/>
          <w:lang w:val="en-GB"/>
        </w:rPr>
      </w:pPr>
      <w:r w:rsidRPr="00190CF3">
        <w:rPr>
          <w:rFonts w:asciiTheme="minorHAnsi" w:hAnsiTheme="minorHAnsi" w:cstheme="minorHAnsi"/>
          <w:sz w:val="22"/>
          <w:szCs w:val="22"/>
          <w:lang w:val="en-GB"/>
        </w:rPr>
        <w:t>T</w:t>
      </w:r>
      <w:r w:rsidR="00871120" w:rsidRPr="00190CF3">
        <w:rPr>
          <w:rFonts w:asciiTheme="minorHAnsi" w:hAnsiTheme="minorHAnsi" w:cstheme="minorHAnsi"/>
          <w:sz w:val="22"/>
          <w:szCs w:val="22"/>
          <w:lang w:val="en-GB"/>
        </w:rPr>
        <w:t xml:space="preserve">hese results for firm- and country-level variables are not homogenous across firm size. </w:t>
      </w:r>
      <w:r w:rsidR="00871120">
        <w:rPr>
          <w:rFonts w:asciiTheme="minorHAnsi" w:hAnsiTheme="minorHAnsi" w:cstheme="minorHAnsi"/>
          <w:sz w:val="22"/>
          <w:szCs w:val="22"/>
          <w:lang w:val="en-GB"/>
        </w:rPr>
        <w:t>B</w:t>
      </w:r>
      <w:r w:rsidR="00871120" w:rsidRPr="002B2630">
        <w:rPr>
          <w:rFonts w:asciiTheme="minorHAnsi" w:hAnsiTheme="minorHAnsi" w:cstheme="minorHAnsi"/>
          <w:sz w:val="22"/>
          <w:szCs w:val="22"/>
          <w:lang w:val="en-GB"/>
        </w:rPr>
        <w:t xml:space="preserve">anking structure variables in particular have a greater influence on small firms. Bank concentration has a positive influence on debt maturity for small </w:t>
      </w:r>
      <w:r w:rsidRPr="002B2630">
        <w:rPr>
          <w:rFonts w:asciiTheme="minorHAnsi" w:hAnsiTheme="minorHAnsi" w:cstheme="minorHAnsi"/>
          <w:sz w:val="22"/>
          <w:szCs w:val="22"/>
          <w:lang w:val="en-GB"/>
        </w:rPr>
        <w:t>firms</w:t>
      </w:r>
      <w:r w:rsidR="001532BB">
        <w:rPr>
          <w:rFonts w:asciiTheme="minorHAnsi" w:hAnsiTheme="minorHAnsi" w:cstheme="minorHAnsi"/>
          <w:sz w:val="22"/>
          <w:szCs w:val="22"/>
          <w:lang w:val="en-GB"/>
        </w:rPr>
        <w:t>,</w:t>
      </w:r>
      <w:r w:rsidR="00871120" w:rsidRPr="002B2630">
        <w:rPr>
          <w:rFonts w:asciiTheme="minorHAnsi" w:hAnsiTheme="minorHAnsi" w:cstheme="minorHAnsi"/>
          <w:sz w:val="22"/>
          <w:szCs w:val="22"/>
          <w:lang w:val="en-GB"/>
        </w:rPr>
        <w:t xml:space="preserve"> </w:t>
      </w:r>
      <w:r w:rsidR="001532BB">
        <w:rPr>
          <w:rFonts w:asciiTheme="minorHAnsi" w:hAnsiTheme="minorHAnsi" w:cstheme="minorHAnsi"/>
          <w:sz w:val="22"/>
          <w:szCs w:val="22"/>
          <w:lang w:val="en-GB"/>
        </w:rPr>
        <w:t>whereas</w:t>
      </w:r>
      <w:r w:rsidR="001532BB" w:rsidRPr="002B2630">
        <w:rPr>
          <w:rFonts w:asciiTheme="minorHAnsi" w:hAnsiTheme="minorHAnsi" w:cstheme="minorHAnsi"/>
          <w:sz w:val="22"/>
          <w:szCs w:val="22"/>
          <w:lang w:val="en-GB"/>
        </w:rPr>
        <w:t xml:space="preserve"> </w:t>
      </w:r>
      <w:r>
        <w:rPr>
          <w:rFonts w:asciiTheme="minorHAnsi" w:hAnsiTheme="minorHAnsi" w:cstheme="minorHAnsi"/>
          <w:sz w:val="22"/>
          <w:szCs w:val="22"/>
          <w:lang w:val="en-GB"/>
        </w:rPr>
        <w:t>in the case of large firms</w:t>
      </w:r>
      <w:r w:rsidR="003366C9">
        <w:rPr>
          <w:rFonts w:asciiTheme="minorHAnsi" w:hAnsiTheme="minorHAnsi" w:cstheme="minorHAnsi"/>
          <w:sz w:val="22"/>
          <w:szCs w:val="22"/>
          <w:lang w:val="en-GB"/>
        </w:rPr>
        <w:t>,</w:t>
      </w:r>
      <w:r>
        <w:rPr>
          <w:rFonts w:asciiTheme="minorHAnsi" w:hAnsiTheme="minorHAnsi" w:cstheme="minorHAnsi"/>
          <w:sz w:val="22"/>
          <w:szCs w:val="22"/>
          <w:lang w:val="en-GB"/>
        </w:rPr>
        <w:t xml:space="preserve"> corporate debt maturity does not depend on bank concentration. T</w:t>
      </w:r>
      <w:r w:rsidR="00871120" w:rsidRPr="002B2630">
        <w:rPr>
          <w:rFonts w:asciiTheme="minorHAnsi" w:hAnsiTheme="minorHAnsi" w:cstheme="minorHAnsi"/>
          <w:sz w:val="22"/>
          <w:szCs w:val="22"/>
          <w:lang w:val="en-GB"/>
        </w:rPr>
        <w:t xml:space="preserve">he weight of banks in the economy has a negative influence for </w:t>
      </w:r>
      <w:r w:rsidR="00871120" w:rsidRPr="006A02C1">
        <w:rPr>
          <w:rFonts w:asciiTheme="minorHAnsi" w:hAnsiTheme="minorHAnsi" w:cstheme="minorHAnsi"/>
          <w:sz w:val="22"/>
          <w:szCs w:val="22"/>
          <w:lang w:val="en-GB"/>
        </w:rPr>
        <w:t xml:space="preserve">small firms, </w:t>
      </w:r>
      <w:r w:rsidR="001532BB">
        <w:rPr>
          <w:rFonts w:asciiTheme="minorHAnsi" w:hAnsiTheme="minorHAnsi" w:cstheme="minorHAnsi"/>
          <w:sz w:val="22"/>
          <w:szCs w:val="22"/>
          <w:lang w:val="en-GB"/>
        </w:rPr>
        <w:t>this</w:t>
      </w:r>
      <w:r w:rsidR="001532BB" w:rsidRPr="006A02C1">
        <w:rPr>
          <w:rFonts w:asciiTheme="minorHAnsi" w:hAnsiTheme="minorHAnsi" w:cstheme="minorHAnsi"/>
          <w:sz w:val="22"/>
          <w:szCs w:val="22"/>
          <w:lang w:val="en-GB"/>
        </w:rPr>
        <w:t xml:space="preserve"> </w:t>
      </w:r>
      <w:r w:rsidR="00871120" w:rsidRPr="006A02C1">
        <w:rPr>
          <w:rFonts w:asciiTheme="minorHAnsi" w:hAnsiTheme="minorHAnsi" w:cstheme="minorHAnsi"/>
          <w:sz w:val="22"/>
          <w:szCs w:val="22"/>
          <w:lang w:val="en-GB"/>
        </w:rPr>
        <w:t xml:space="preserve">influence being </w:t>
      </w:r>
      <w:r w:rsidR="00BD575B" w:rsidRPr="006A02C1">
        <w:rPr>
          <w:rFonts w:asciiTheme="minorHAnsi" w:hAnsiTheme="minorHAnsi" w:cstheme="minorHAnsi"/>
          <w:sz w:val="22"/>
          <w:szCs w:val="22"/>
          <w:lang w:val="en-GB"/>
        </w:rPr>
        <w:t>no</w:t>
      </w:r>
      <w:r w:rsidR="00470EB0" w:rsidRPr="006A02C1">
        <w:rPr>
          <w:rFonts w:asciiTheme="minorHAnsi" w:hAnsiTheme="minorHAnsi" w:cstheme="minorHAnsi"/>
          <w:sz w:val="22"/>
          <w:szCs w:val="22"/>
          <w:lang w:val="en-GB"/>
        </w:rPr>
        <w:t>n-</w:t>
      </w:r>
      <w:r w:rsidR="00BD575B" w:rsidRPr="006A02C1">
        <w:rPr>
          <w:rFonts w:asciiTheme="minorHAnsi" w:hAnsiTheme="minorHAnsi" w:cstheme="minorHAnsi"/>
          <w:sz w:val="22"/>
          <w:szCs w:val="22"/>
          <w:lang w:val="en-GB"/>
        </w:rPr>
        <w:t>significant</w:t>
      </w:r>
      <w:r w:rsidR="00871120" w:rsidRPr="006A02C1">
        <w:rPr>
          <w:rFonts w:asciiTheme="minorHAnsi" w:hAnsiTheme="minorHAnsi" w:cstheme="minorHAnsi"/>
          <w:sz w:val="22"/>
          <w:szCs w:val="22"/>
          <w:lang w:val="en-GB"/>
        </w:rPr>
        <w:t xml:space="preserve"> in the case of large firms. These results reveal</w:t>
      </w:r>
      <w:r w:rsidR="00871120" w:rsidRPr="002B2630">
        <w:rPr>
          <w:rFonts w:asciiTheme="minorHAnsi" w:hAnsiTheme="minorHAnsi" w:cstheme="minorHAnsi"/>
          <w:sz w:val="22"/>
          <w:szCs w:val="22"/>
          <w:lang w:val="en-GB"/>
        </w:rPr>
        <w:t xml:space="preserve"> the different role of banking structure </w:t>
      </w:r>
      <w:r w:rsidR="00871120">
        <w:rPr>
          <w:rFonts w:asciiTheme="minorHAnsi" w:hAnsiTheme="minorHAnsi" w:cstheme="minorHAnsi"/>
          <w:sz w:val="22"/>
          <w:szCs w:val="22"/>
          <w:lang w:val="en-GB"/>
        </w:rPr>
        <w:t>depending on</w:t>
      </w:r>
      <w:r w:rsidR="00871120" w:rsidRPr="002B2630">
        <w:rPr>
          <w:rFonts w:asciiTheme="minorHAnsi" w:hAnsiTheme="minorHAnsi" w:cstheme="minorHAnsi"/>
          <w:sz w:val="22"/>
          <w:szCs w:val="22"/>
          <w:lang w:val="en-GB"/>
        </w:rPr>
        <w:t xml:space="preserve"> firm size. </w:t>
      </w:r>
      <w:r w:rsidR="001C7537">
        <w:rPr>
          <w:rFonts w:asciiTheme="minorHAnsi" w:hAnsiTheme="minorHAnsi" w:cstheme="minorHAnsi"/>
          <w:sz w:val="22"/>
          <w:szCs w:val="22"/>
          <w:lang w:val="en-GB"/>
        </w:rPr>
        <w:t>R</w:t>
      </w:r>
      <w:r w:rsidR="00871120" w:rsidRPr="002B2630">
        <w:rPr>
          <w:rFonts w:asciiTheme="minorHAnsi" w:hAnsiTheme="minorHAnsi" w:cstheme="minorHAnsi"/>
          <w:sz w:val="22"/>
          <w:szCs w:val="22"/>
          <w:lang w:val="en-GB"/>
        </w:rPr>
        <w:t>elationship banking, and hence bank concentration, provides for mitigating information asymmetries in smaller firms and explains the positive relationship with debt maturity.</w:t>
      </w:r>
      <w:r w:rsidR="00871120">
        <w:rPr>
          <w:rFonts w:asciiTheme="minorHAnsi" w:hAnsiTheme="minorHAnsi" w:cstheme="minorHAnsi"/>
          <w:sz w:val="22"/>
          <w:szCs w:val="22"/>
          <w:lang w:val="en-GB"/>
        </w:rPr>
        <w:t xml:space="preserve"> D</w:t>
      </w:r>
      <w:r w:rsidR="00871120" w:rsidRPr="002B2630">
        <w:rPr>
          <w:rFonts w:asciiTheme="minorHAnsi" w:hAnsiTheme="minorHAnsi" w:cstheme="minorHAnsi"/>
          <w:sz w:val="22"/>
          <w:szCs w:val="22"/>
          <w:lang w:val="en-GB"/>
        </w:rPr>
        <w:t>ue to the fact that large firms have better access to financial markets, they are less dependent on domestic bank credit and are hence less affected by the preferences of banks.</w:t>
      </w:r>
    </w:p>
    <w:p w:rsidR="00871120" w:rsidRDefault="00871120" w:rsidP="00871120">
      <w:pPr>
        <w:spacing w:before="120" w:after="240" w:line="480" w:lineRule="auto"/>
        <w:jc w:val="both"/>
        <w:rPr>
          <w:rFonts w:asciiTheme="minorHAnsi" w:hAnsiTheme="minorHAnsi" w:cstheme="minorHAnsi"/>
          <w:sz w:val="22"/>
          <w:szCs w:val="22"/>
          <w:lang w:val="en-GB"/>
        </w:rPr>
      </w:pPr>
      <w:r w:rsidRPr="00190CF3">
        <w:rPr>
          <w:rFonts w:asciiTheme="minorHAnsi" w:hAnsiTheme="minorHAnsi" w:cstheme="minorHAnsi"/>
          <w:sz w:val="22"/>
          <w:szCs w:val="22"/>
          <w:lang w:val="en-GB"/>
        </w:rPr>
        <w:t xml:space="preserve">The paper shows that institutional features and banking structure characteristics lead to differences in debt maturity across countries. </w:t>
      </w:r>
      <w:r w:rsidR="00BB59B3" w:rsidRPr="00190CF3">
        <w:rPr>
          <w:rFonts w:asciiTheme="minorHAnsi" w:hAnsiTheme="minorHAnsi" w:cstheme="minorHAnsi"/>
          <w:sz w:val="22"/>
          <w:szCs w:val="22"/>
          <w:lang w:val="en-GB"/>
        </w:rPr>
        <w:t xml:space="preserve">The nature and magnitude of the effect of firm- and country-level determinants of corporate debt maturity are country dependent, revealing the influences of the institutional environment and the banking structure of the country. </w:t>
      </w:r>
      <w:r w:rsidRPr="00190CF3">
        <w:rPr>
          <w:rFonts w:asciiTheme="minorHAnsi" w:hAnsiTheme="minorHAnsi" w:cstheme="minorHAnsi"/>
          <w:sz w:val="22"/>
          <w:szCs w:val="22"/>
          <w:lang w:val="en-GB"/>
        </w:rPr>
        <w:t xml:space="preserve">Furthermore, the influences of country-level determinants are not homogeneous across firm size. </w:t>
      </w:r>
      <w:r w:rsidR="00D11BA6" w:rsidRPr="00190CF3">
        <w:rPr>
          <w:rFonts w:asciiTheme="minorHAnsi" w:hAnsiTheme="minorHAnsi" w:cstheme="minorHAnsi"/>
          <w:sz w:val="22"/>
          <w:szCs w:val="22"/>
          <w:lang w:val="en-GB"/>
        </w:rPr>
        <w:t xml:space="preserve">The banking structure of the country is a relevant determinant of corporate debt maturity in poor quality institutional environments. </w:t>
      </w:r>
      <w:r w:rsidR="0082014E" w:rsidRPr="00190CF3">
        <w:rPr>
          <w:rFonts w:asciiTheme="minorHAnsi" w:hAnsiTheme="minorHAnsi" w:cstheme="minorHAnsi"/>
          <w:sz w:val="22"/>
          <w:szCs w:val="22"/>
          <w:lang w:val="en-GB"/>
        </w:rPr>
        <w:t>The country’s b</w:t>
      </w:r>
      <w:r w:rsidR="00BB59B3" w:rsidRPr="00190CF3">
        <w:rPr>
          <w:rFonts w:asciiTheme="minorHAnsi" w:hAnsiTheme="minorHAnsi" w:cstheme="minorHAnsi"/>
          <w:sz w:val="22"/>
          <w:szCs w:val="22"/>
          <w:lang w:val="en-GB"/>
        </w:rPr>
        <w:t xml:space="preserve">ank concentration </w:t>
      </w:r>
      <w:r w:rsidR="0082014E" w:rsidRPr="00190CF3">
        <w:rPr>
          <w:rFonts w:asciiTheme="minorHAnsi" w:hAnsiTheme="minorHAnsi" w:cstheme="minorHAnsi"/>
          <w:sz w:val="22"/>
          <w:szCs w:val="22"/>
          <w:lang w:val="en-GB"/>
        </w:rPr>
        <w:t>is found to be</w:t>
      </w:r>
      <w:r w:rsidR="00BB59B3" w:rsidRPr="00190CF3">
        <w:rPr>
          <w:rFonts w:asciiTheme="minorHAnsi" w:hAnsiTheme="minorHAnsi" w:cstheme="minorHAnsi"/>
          <w:sz w:val="22"/>
          <w:szCs w:val="22"/>
          <w:lang w:val="en-GB"/>
        </w:rPr>
        <w:t xml:space="preserve"> </w:t>
      </w:r>
      <w:r w:rsidR="00360C68" w:rsidRPr="00190CF3">
        <w:rPr>
          <w:rFonts w:asciiTheme="minorHAnsi" w:hAnsiTheme="minorHAnsi" w:cstheme="minorHAnsi"/>
          <w:sz w:val="22"/>
          <w:szCs w:val="22"/>
          <w:lang w:val="en-GB"/>
        </w:rPr>
        <w:t xml:space="preserve">a useful mechanism </w:t>
      </w:r>
      <w:r w:rsidR="0082014E" w:rsidRPr="00190CF3">
        <w:rPr>
          <w:rFonts w:asciiTheme="minorHAnsi" w:hAnsiTheme="minorHAnsi" w:cstheme="minorHAnsi"/>
          <w:sz w:val="22"/>
          <w:szCs w:val="22"/>
          <w:lang w:val="en-GB"/>
        </w:rPr>
        <w:t xml:space="preserve">for </w:t>
      </w:r>
      <w:r w:rsidR="00360C68" w:rsidRPr="00190CF3">
        <w:rPr>
          <w:rFonts w:asciiTheme="minorHAnsi" w:hAnsiTheme="minorHAnsi" w:cstheme="minorHAnsi"/>
          <w:sz w:val="22"/>
          <w:szCs w:val="22"/>
          <w:lang w:val="en-GB"/>
        </w:rPr>
        <w:t>reduc</w:t>
      </w:r>
      <w:r w:rsidR="0082014E" w:rsidRPr="00190CF3">
        <w:rPr>
          <w:rFonts w:asciiTheme="minorHAnsi" w:hAnsiTheme="minorHAnsi" w:cstheme="minorHAnsi"/>
          <w:sz w:val="22"/>
          <w:szCs w:val="22"/>
          <w:lang w:val="en-GB"/>
        </w:rPr>
        <w:t>ing</w:t>
      </w:r>
      <w:r w:rsidR="00360C68" w:rsidRPr="00190CF3">
        <w:rPr>
          <w:rFonts w:asciiTheme="minorHAnsi" w:hAnsiTheme="minorHAnsi" w:cstheme="minorHAnsi"/>
          <w:sz w:val="22"/>
          <w:szCs w:val="22"/>
          <w:lang w:val="en-GB"/>
        </w:rPr>
        <w:t xml:space="preserve"> financial constraints in countries with poor </w:t>
      </w:r>
      <w:r w:rsidR="00190CF3" w:rsidRPr="00190CF3">
        <w:rPr>
          <w:rFonts w:asciiTheme="minorHAnsi" w:hAnsiTheme="minorHAnsi" w:cstheme="minorHAnsi"/>
          <w:sz w:val="22"/>
          <w:szCs w:val="22"/>
          <w:lang w:val="en-GB"/>
        </w:rPr>
        <w:t xml:space="preserve">institutional </w:t>
      </w:r>
      <w:r w:rsidR="00360C68" w:rsidRPr="00190CF3">
        <w:rPr>
          <w:rFonts w:asciiTheme="minorHAnsi" w:hAnsiTheme="minorHAnsi" w:cstheme="minorHAnsi"/>
          <w:sz w:val="22"/>
          <w:szCs w:val="22"/>
          <w:lang w:val="en-GB"/>
        </w:rPr>
        <w:t>quality and for small firms. Consequently, d</w:t>
      </w:r>
      <w:r w:rsidRPr="00190CF3">
        <w:rPr>
          <w:rFonts w:asciiTheme="minorHAnsi" w:hAnsiTheme="minorHAnsi" w:cstheme="minorHAnsi"/>
          <w:sz w:val="22"/>
          <w:szCs w:val="22"/>
          <w:lang w:val="en-GB"/>
        </w:rPr>
        <w:t xml:space="preserve">ifferent policies would have to be implemented to provide access to long-term debt for firms in </w:t>
      </w:r>
      <w:r w:rsidR="00D11BA6" w:rsidRPr="00190CF3">
        <w:rPr>
          <w:rFonts w:asciiTheme="minorHAnsi" w:hAnsiTheme="minorHAnsi" w:cstheme="minorHAnsi"/>
          <w:sz w:val="22"/>
          <w:szCs w:val="22"/>
          <w:lang w:val="en-GB"/>
        </w:rPr>
        <w:t>countries with different banking structures</w:t>
      </w:r>
      <w:r w:rsidRPr="00190CF3">
        <w:rPr>
          <w:rFonts w:asciiTheme="minorHAnsi" w:hAnsiTheme="minorHAnsi" w:cstheme="minorHAnsi"/>
          <w:sz w:val="22"/>
          <w:szCs w:val="22"/>
          <w:lang w:val="en-GB"/>
        </w:rPr>
        <w:t xml:space="preserve"> and those of different sizes.</w:t>
      </w:r>
    </w:p>
    <w:p w:rsidR="00871120" w:rsidRPr="002B2630" w:rsidRDefault="00E32555" w:rsidP="00871120">
      <w:pPr>
        <w:pStyle w:val="Ttulo2"/>
        <w:spacing w:before="120" w:after="240" w:line="480" w:lineRule="auto"/>
        <w:rPr>
          <w:rFonts w:ascii="Verdana" w:hAnsi="Verdana"/>
          <w:i w:val="0"/>
          <w:sz w:val="22"/>
          <w:szCs w:val="22"/>
          <w:lang w:val="en-GB"/>
        </w:rPr>
      </w:pPr>
      <w:r w:rsidRPr="002B2630">
        <w:rPr>
          <w:rFonts w:ascii="Verdana" w:hAnsi="Verdana"/>
          <w:i w:val="0"/>
          <w:sz w:val="22"/>
          <w:szCs w:val="22"/>
          <w:lang w:val="en-GB"/>
        </w:rPr>
        <w:lastRenderedPageBreak/>
        <w:t>REFERENCES</w:t>
      </w:r>
    </w:p>
    <w:p w:rsidR="00871120" w:rsidRPr="002B2630" w:rsidRDefault="00871120" w:rsidP="00992008">
      <w:pPr>
        <w:spacing w:after="120"/>
        <w:ind w:left="709" w:hanging="709"/>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Antoniou, A., Guney, Y., and Paudyal, K., 2006. The determinants of debt maturity structure: evidence from France, Germany and the UK. European Financial Management, 12 (2), 161-194.</w:t>
      </w:r>
    </w:p>
    <w:p w:rsidR="00871120" w:rsidRPr="002B2630" w:rsidRDefault="00871120" w:rsidP="00871120">
      <w:pPr>
        <w:spacing w:after="120"/>
        <w:ind w:left="709" w:hanging="709"/>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Bae, K.H., and Goyal, V.K., 2009. Creditor Rights, Enforcement, and Bank Loans. Journal of Finance 64 (2), 823-860.</w:t>
      </w:r>
    </w:p>
    <w:p w:rsidR="00871120" w:rsidRPr="002B2630" w:rsidRDefault="00871120" w:rsidP="00871120">
      <w:pPr>
        <w:spacing w:after="120"/>
        <w:ind w:left="709" w:hanging="709"/>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Barclay, M.J., Marx L.M., and Smith, C.W., 2003. The joint determination of leverage and maturity. Journal of Corporate Finance, 9 (2), 149-167.</w:t>
      </w:r>
    </w:p>
    <w:p w:rsidR="00871120" w:rsidRPr="002B2630" w:rsidRDefault="00871120" w:rsidP="00871120">
      <w:pPr>
        <w:spacing w:after="120"/>
        <w:ind w:left="709" w:hanging="709"/>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Barclay, M.J., and Smith, C.W., 1995. The maturity structure of corporate debt. Journal of Finance 50, 609-631.</w:t>
      </w:r>
    </w:p>
    <w:p w:rsidR="00871120" w:rsidRPr="002B2630" w:rsidRDefault="00871120" w:rsidP="00871120">
      <w:pPr>
        <w:spacing w:after="120"/>
        <w:ind w:left="709" w:hanging="709"/>
        <w:jc w:val="both"/>
        <w:rPr>
          <w:rFonts w:asciiTheme="minorHAnsi" w:hAnsiTheme="minorHAnsi"/>
          <w:sz w:val="22"/>
          <w:szCs w:val="22"/>
          <w:lang w:val="en-GB"/>
        </w:rPr>
      </w:pPr>
      <w:r w:rsidRPr="002B2630">
        <w:rPr>
          <w:rFonts w:asciiTheme="minorHAnsi" w:hAnsiTheme="minorHAnsi"/>
          <w:sz w:val="22"/>
          <w:szCs w:val="22"/>
          <w:lang w:val="en-GB"/>
        </w:rPr>
        <w:t xml:space="preserve">Barnea, A., Haugen, R.A. and Senbet, L.W., 1980. A rationale for debt maturity structure and call provisions in the agency theoretic framework. </w:t>
      </w:r>
      <w:r w:rsidRPr="002B2630">
        <w:rPr>
          <w:rFonts w:asciiTheme="minorHAnsi" w:hAnsiTheme="minorHAnsi"/>
          <w:i/>
          <w:sz w:val="22"/>
          <w:szCs w:val="22"/>
          <w:lang w:val="en-GB"/>
        </w:rPr>
        <w:t>The Journal of Finance</w:t>
      </w:r>
      <w:r w:rsidRPr="002B2630">
        <w:rPr>
          <w:rFonts w:asciiTheme="minorHAnsi" w:hAnsiTheme="minorHAnsi"/>
          <w:sz w:val="22"/>
          <w:szCs w:val="22"/>
          <w:lang w:val="en-GB"/>
        </w:rPr>
        <w:t>, 35 (5), 1223-1234.</w:t>
      </w:r>
    </w:p>
    <w:p w:rsidR="00871120" w:rsidRPr="002B2630" w:rsidRDefault="00871120" w:rsidP="00871120">
      <w:pPr>
        <w:spacing w:after="120"/>
        <w:ind w:left="709" w:hanging="709"/>
        <w:jc w:val="both"/>
        <w:rPr>
          <w:rFonts w:asciiTheme="minorHAnsi" w:hAnsiTheme="minorHAnsi" w:cs="AdvTT5235d5a9"/>
          <w:sz w:val="22"/>
          <w:szCs w:val="22"/>
          <w:lang w:val="en-GB"/>
        </w:rPr>
      </w:pPr>
      <w:r w:rsidRPr="002B2630">
        <w:rPr>
          <w:rFonts w:asciiTheme="minorHAnsi" w:hAnsiTheme="minorHAnsi" w:cs="AdvTT5235d5a9"/>
          <w:sz w:val="22"/>
          <w:szCs w:val="22"/>
          <w:lang w:val="en-GB"/>
        </w:rPr>
        <w:t xml:space="preserve">Beck, T., Demirgüç-Kunt, A., and Levine, R., 2006. Bank concentration, competition, and crises: </w:t>
      </w:r>
      <w:r w:rsidRPr="002B2630">
        <w:rPr>
          <w:rFonts w:asciiTheme="minorHAnsi" w:hAnsiTheme="minorHAnsi" w:cs="AdvTT5235d5a9+fb"/>
          <w:sz w:val="22"/>
          <w:szCs w:val="22"/>
          <w:lang w:val="en-GB"/>
        </w:rPr>
        <w:t>fi</w:t>
      </w:r>
      <w:r w:rsidRPr="002B2630">
        <w:rPr>
          <w:rFonts w:asciiTheme="minorHAnsi" w:hAnsiTheme="minorHAnsi" w:cs="AdvTT5235d5a9"/>
          <w:sz w:val="22"/>
          <w:szCs w:val="22"/>
          <w:lang w:val="en-GB"/>
        </w:rPr>
        <w:t>rst results. Journal of Banking and Finance 30, 1581</w:t>
      </w:r>
      <w:r w:rsidRPr="002B2630">
        <w:rPr>
          <w:rFonts w:asciiTheme="minorHAnsi" w:hAnsiTheme="minorHAnsi" w:cs="AdvTT5235d5a9+20"/>
          <w:sz w:val="22"/>
          <w:szCs w:val="22"/>
          <w:lang w:val="en-GB"/>
        </w:rPr>
        <w:t>–</w:t>
      </w:r>
      <w:r w:rsidRPr="002B2630">
        <w:rPr>
          <w:rFonts w:asciiTheme="minorHAnsi" w:hAnsiTheme="minorHAnsi" w:cs="AdvTT5235d5a9"/>
          <w:sz w:val="22"/>
          <w:szCs w:val="22"/>
          <w:lang w:val="en-GB"/>
        </w:rPr>
        <w:t>1603.</w:t>
      </w:r>
    </w:p>
    <w:p w:rsidR="00871120" w:rsidRPr="002B2630" w:rsidRDefault="00871120" w:rsidP="00871120">
      <w:pPr>
        <w:spacing w:after="120"/>
        <w:ind w:left="709" w:hanging="709"/>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Boot, W., 2000. Relationship banking: what do we know? Journal of Financial Intermediation 9, 7–25.</w:t>
      </w:r>
    </w:p>
    <w:p w:rsidR="00203517" w:rsidRDefault="00203517" w:rsidP="00A5594C">
      <w:pPr>
        <w:spacing w:after="120"/>
        <w:ind w:left="709" w:hanging="709"/>
        <w:jc w:val="both"/>
        <w:rPr>
          <w:rFonts w:asciiTheme="minorHAnsi" w:hAnsiTheme="minorHAnsi" w:cs="AdvTT5235d5a9"/>
          <w:sz w:val="22"/>
          <w:szCs w:val="22"/>
          <w:lang w:val="en-GB"/>
        </w:rPr>
      </w:pPr>
      <w:r w:rsidRPr="00203517">
        <w:rPr>
          <w:rFonts w:asciiTheme="minorHAnsi" w:hAnsiTheme="minorHAnsi" w:cs="AdvTT5235d5a9"/>
          <w:sz w:val="22"/>
          <w:szCs w:val="22"/>
          <w:lang w:val="en-GB"/>
        </w:rPr>
        <w:t>Breusch, T., and Pagan, A., 1980. The LM Test and its applications to model specification in econometrics. Review of Economic Studies 47 (1), 239-254.</w:t>
      </w:r>
    </w:p>
    <w:p w:rsidR="00871120" w:rsidRPr="002B2630" w:rsidRDefault="00871120" w:rsidP="00871120">
      <w:pPr>
        <w:spacing w:after="120"/>
        <w:ind w:left="709" w:hanging="709"/>
        <w:jc w:val="both"/>
        <w:rPr>
          <w:rFonts w:asciiTheme="minorHAnsi" w:hAnsiTheme="minorHAnsi" w:cstheme="minorHAnsi"/>
          <w:sz w:val="22"/>
          <w:szCs w:val="22"/>
          <w:lang w:val="en-GB"/>
        </w:rPr>
      </w:pPr>
      <w:r w:rsidRPr="003763DC">
        <w:rPr>
          <w:rFonts w:asciiTheme="minorHAnsi" w:hAnsiTheme="minorHAnsi" w:cstheme="minorHAnsi"/>
          <w:sz w:val="22"/>
          <w:szCs w:val="22"/>
          <w:lang w:val="en-US"/>
        </w:rPr>
        <w:t xml:space="preserve">Dell'Ariccia, G., and Marquez, R., 2004. </w:t>
      </w:r>
      <w:r w:rsidRPr="002B2630">
        <w:rPr>
          <w:rFonts w:asciiTheme="minorHAnsi" w:hAnsiTheme="minorHAnsi" w:cstheme="minorHAnsi"/>
          <w:sz w:val="22"/>
          <w:szCs w:val="22"/>
          <w:lang w:val="en-GB"/>
        </w:rPr>
        <w:t>Information and bank credit allocation. Journal of Financial Economics 72, 185–214.</w:t>
      </w:r>
    </w:p>
    <w:p w:rsidR="00871120" w:rsidRPr="002B2630" w:rsidRDefault="00871120" w:rsidP="00871120">
      <w:pPr>
        <w:spacing w:after="120"/>
        <w:ind w:left="709" w:hanging="709"/>
        <w:jc w:val="both"/>
        <w:rPr>
          <w:rFonts w:asciiTheme="minorHAnsi" w:hAnsiTheme="minorHAnsi" w:cstheme="minorHAnsi"/>
          <w:sz w:val="22"/>
          <w:szCs w:val="22"/>
          <w:lang w:val="en-GB"/>
        </w:rPr>
      </w:pPr>
      <w:r w:rsidRPr="00F025EF">
        <w:rPr>
          <w:rFonts w:asciiTheme="minorHAnsi" w:hAnsiTheme="minorHAnsi" w:cstheme="minorHAnsi"/>
          <w:sz w:val="22"/>
          <w:szCs w:val="22"/>
          <w:lang w:val="en-GB"/>
        </w:rPr>
        <w:t xml:space="preserve">Dell’Ariccia, G., Detragiache, E., and Rajan. R., 2008. The Real Effect of Banking Crises. Journal of Financial Intermediation </w:t>
      </w:r>
      <w:r w:rsidR="00680FBB">
        <w:rPr>
          <w:rFonts w:asciiTheme="minorHAnsi" w:hAnsiTheme="minorHAnsi" w:cstheme="minorHAnsi"/>
          <w:sz w:val="22"/>
          <w:szCs w:val="22"/>
          <w:lang w:val="en-GB"/>
        </w:rPr>
        <w:t>1</w:t>
      </w:r>
      <w:r w:rsidRPr="00F025EF">
        <w:rPr>
          <w:rFonts w:asciiTheme="minorHAnsi" w:hAnsiTheme="minorHAnsi" w:cstheme="minorHAnsi"/>
          <w:sz w:val="22"/>
          <w:szCs w:val="22"/>
          <w:lang w:val="en-GB"/>
        </w:rPr>
        <w:t>7, 89-112.</w:t>
      </w:r>
    </w:p>
    <w:p w:rsidR="00871120" w:rsidRPr="002B2630" w:rsidRDefault="00871120" w:rsidP="00871120">
      <w:pPr>
        <w:autoSpaceDE w:val="0"/>
        <w:autoSpaceDN w:val="0"/>
        <w:adjustRightInd w:val="0"/>
        <w:spacing w:after="120"/>
        <w:ind w:left="709" w:hanging="709"/>
        <w:jc w:val="both"/>
        <w:rPr>
          <w:rFonts w:asciiTheme="minorHAnsi" w:hAnsiTheme="minorHAnsi" w:cs="AdvTT5235d5a9"/>
          <w:sz w:val="22"/>
          <w:szCs w:val="22"/>
          <w:lang w:val="en-GB"/>
        </w:rPr>
      </w:pPr>
      <w:r w:rsidRPr="002B2630">
        <w:rPr>
          <w:rFonts w:asciiTheme="minorHAnsi" w:hAnsiTheme="minorHAnsi" w:cs="AdvTT5235d5a9"/>
          <w:sz w:val="22"/>
          <w:szCs w:val="22"/>
          <w:lang w:val="en-GB"/>
        </w:rPr>
        <w:t xml:space="preserve">Demirgüç-Kunt, A., Laeven, L., and Levine, R., 2004. Regulations, market structure, institutions, and the cost of </w:t>
      </w:r>
      <w:r w:rsidRPr="002B2630">
        <w:rPr>
          <w:rFonts w:asciiTheme="minorHAnsi" w:hAnsiTheme="minorHAnsi" w:cs="AdvTT5235d5a9+fb"/>
          <w:sz w:val="22"/>
          <w:szCs w:val="22"/>
          <w:lang w:val="en-GB"/>
        </w:rPr>
        <w:t>fi</w:t>
      </w:r>
      <w:r w:rsidRPr="002B2630">
        <w:rPr>
          <w:rFonts w:asciiTheme="minorHAnsi" w:hAnsiTheme="minorHAnsi" w:cs="AdvTT5235d5a9"/>
          <w:sz w:val="22"/>
          <w:szCs w:val="22"/>
          <w:lang w:val="en-GB"/>
        </w:rPr>
        <w:t>nancial intermediation. Journal of Money, Credit, and Banking 36, 593</w:t>
      </w:r>
      <w:r w:rsidRPr="002B2630">
        <w:rPr>
          <w:rFonts w:asciiTheme="minorHAnsi" w:hAnsiTheme="minorHAnsi" w:cs="AdvTT5235d5a9+20"/>
          <w:sz w:val="22"/>
          <w:szCs w:val="22"/>
          <w:lang w:val="en-GB"/>
        </w:rPr>
        <w:t>–</w:t>
      </w:r>
      <w:r w:rsidRPr="002B2630">
        <w:rPr>
          <w:rFonts w:asciiTheme="minorHAnsi" w:hAnsiTheme="minorHAnsi" w:cs="AdvTT5235d5a9"/>
          <w:sz w:val="22"/>
          <w:szCs w:val="22"/>
          <w:lang w:val="en-GB"/>
        </w:rPr>
        <w:t>622.</w:t>
      </w:r>
    </w:p>
    <w:p w:rsidR="00871120" w:rsidRPr="002B2630" w:rsidRDefault="00871120" w:rsidP="00871120">
      <w:pPr>
        <w:spacing w:after="120"/>
        <w:ind w:left="709" w:hanging="709"/>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Demirgüç-Kunt, A., Maksimovic, V., 1999. Institutions, financial markets, and firm debt maturity. Journal of Financial Economics 54, 295-336.</w:t>
      </w:r>
    </w:p>
    <w:p w:rsidR="00871120" w:rsidRPr="002B2630" w:rsidRDefault="00871120" w:rsidP="00871120">
      <w:pPr>
        <w:spacing w:after="120"/>
        <w:ind w:left="709" w:hanging="709"/>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Diamond, D.W., 1991. Debt maturity and liquidity risk. Quarterly Journal of Economics 106, 709-737.</w:t>
      </w:r>
    </w:p>
    <w:p w:rsidR="00871120" w:rsidRPr="002B2630" w:rsidRDefault="00871120" w:rsidP="00871120">
      <w:pPr>
        <w:spacing w:after="120"/>
        <w:ind w:left="709" w:hanging="709"/>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Diamond, D.W., 1993. Seniority and maturity of debt contracts. Journal of Financial Economics 33, 341-368.</w:t>
      </w:r>
    </w:p>
    <w:p w:rsidR="00871120" w:rsidRPr="002B2630" w:rsidRDefault="00871120" w:rsidP="00871120">
      <w:pPr>
        <w:spacing w:after="120"/>
        <w:ind w:left="709" w:hanging="709"/>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Djankov, S., McLiesh, C., and Shleifer, A., 2007. Private credit in 129 countries. Journal of Financial Economics 84, 299-329.</w:t>
      </w:r>
    </w:p>
    <w:p w:rsidR="00871120" w:rsidRPr="002B2630" w:rsidRDefault="00871120" w:rsidP="00871120">
      <w:pPr>
        <w:spacing w:after="120"/>
        <w:ind w:left="709" w:hanging="709"/>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Fama, E.F., and French, K.R., 2002. Testing trade-off and pecking order predictions about dividends and debt. Review of Financial Studies, 15 (1), 1-33.</w:t>
      </w:r>
    </w:p>
    <w:p w:rsidR="00871120" w:rsidRPr="002B2630" w:rsidRDefault="00871120" w:rsidP="00871120">
      <w:pPr>
        <w:autoSpaceDE w:val="0"/>
        <w:autoSpaceDN w:val="0"/>
        <w:adjustRightInd w:val="0"/>
        <w:spacing w:after="120"/>
        <w:ind w:left="709" w:hanging="709"/>
        <w:jc w:val="both"/>
        <w:rPr>
          <w:rFonts w:asciiTheme="minorHAnsi" w:hAnsiTheme="minorHAnsi" w:cs="AdvTT5235d5a9"/>
          <w:color w:val="000000"/>
          <w:sz w:val="22"/>
          <w:szCs w:val="22"/>
          <w:lang w:val="en-GB"/>
        </w:rPr>
      </w:pPr>
      <w:r w:rsidRPr="002B2630">
        <w:rPr>
          <w:rFonts w:asciiTheme="minorHAnsi" w:hAnsiTheme="minorHAnsi" w:cs="AdvTT5235d5a9"/>
          <w:color w:val="000000"/>
          <w:sz w:val="22"/>
          <w:szCs w:val="22"/>
          <w:lang w:val="en-GB"/>
        </w:rPr>
        <w:t>Fan, J.P.H., Titman, S., and Twite, G., 2012. An International Comparison of Capital Structure and Debt Maturity Choices. Journal of Financial and Quantitative Analysis 47 (1), 23-56.</w:t>
      </w:r>
    </w:p>
    <w:p w:rsidR="00871120" w:rsidRPr="002B2630" w:rsidRDefault="00871120" w:rsidP="00871120">
      <w:pPr>
        <w:spacing w:after="120"/>
        <w:ind w:left="709" w:hanging="709"/>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Frank, M., and Goyal, V.K., 2003. Testing the pecking order theory of capital structure. Journal of Financial Economics 67, 217-248.</w:t>
      </w:r>
    </w:p>
    <w:p w:rsidR="00871120" w:rsidRPr="002B2630" w:rsidRDefault="00871120" w:rsidP="00871120">
      <w:pPr>
        <w:spacing w:after="120"/>
        <w:ind w:left="709" w:hanging="709"/>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Giannetti, M., 2003. Do better institutions mitigate agency problems? Evidence from corporate finance choices. Journal of Financial and Quantitative Analysis 38 (1), 185-212.</w:t>
      </w:r>
    </w:p>
    <w:p w:rsidR="00E806C0" w:rsidRPr="002B2630" w:rsidRDefault="00E806C0" w:rsidP="00E806C0">
      <w:pPr>
        <w:spacing w:after="120"/>
        <w:ind w:left="709" w:hanging="709"/>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González, V.M., 2013. Determinants of debt maturity structure across firm size. Spanish Journal of Finance and Accounting XLII, 158, 187-209.</w:t>
      </w:r>
    </w:p>
    <w:p w:rsidR="00871120" w:rsidRDefault="00871120" w:rsidP="00871120">
      <w:pPr>
        <w:spacing w:after="120"/>
        <w:ind w:left="709" w:hanging="709"/>
        <w:jc w:val="both"/>
        <w:rPr>
          <w:rFonts w:asciiTheme="minorHAnsi" w:hAnsiTheme="minorHAnsi" w:cstheme="minorHAnsi"/>
          <w:sz w:val="22"/>
          <w:szCs w:val="22"/>
          <w:lang w:val="en-GB"/>
        </w:rPr>
      </w:pPr>
      <w:r w:rsidRPr="007064C1">
        <w:rPr>
          <w:rFonts w:asciiTheme="minorHAnsi" w:hAnsiTheme="minorHAnsi" w:cstheme="minorHAnsi"/>
          <w:sz w:val="22"/>
          <w:szCs w:val="22"/>
        </w:rPr>
        <w:t xml:space="preserve">González, V.M., and González, F., 2008. </w:t>
      </w:r>
      <w:r w:rsidRPr="002B2630">
        <w:rPr>
          <w:rFonts w:asciiTheme="minorHAnsi" w:hAnsiTheme="minorHAnsi" w:cstheme="minorHAnsi"/>
          <w:sz w:val="22"/>
          <w:szCs w:val="22"/>
          <w:lang w:val="en-GB"/>
        </w:rPr>
        <w:t>Influence of bank concentration and institutions on capital structure: New international evidence. Journal of Corporate Finance 14 (4), 363-375.</w:t>
      </w:r>
    </w:p>
    <w:p w:rsidR="00871120" w:rsidRPr="002B2630" w:rsidRDefault="00871120" w:rsidP="00871120">
      <w:pPr>
        <w:spacing w:after="120"/>
        <w:ind w:left="709" w:hanging="709"/>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Guedes, J. and Opler, T., 1996. The determinants of the maturity of corporate debt issues. The Journal of Finance, 51 (1), 1809-1833.</w:t>
      </w:r>
    </w:p>
    <w:p w:rsidR="00871120" w:rsidRPr="002B2630" w:rsidRDefault="00871120" w:rsidP="00871120">
      <w:pPr>
        <w:spacing w:after="120"/>
        <w:ind w:left="709" w:hanging="709"/>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Hausman, J. A., 1978. Specification tests in econometrics. Econometrica 46 (6), 1251-1271.</w:t>
      </w:r>
    </w:p>
    <w:p w:rsidR="00871120" w:rsidRPr="002B2630" w:rsidRDefault="00871120" w:rsidP="00871120">
      <w:pPr>
        <w:pStyle w:val="Textoindependiente"/>
        <w:ind w:left="709" w:hanging="709"/>
        <w:jc w:val="both"/>
        <w:rPr>
          <w:rFonts w:asciiTheme="minorHAnsi" w:hAnsiTheme="minorHAnsi"/>
          <w:sz w:val="22"/>
          <w:szCs w:val="22"/>
        </w:rPr>
      </w:pPr>
      <w:r w:rsidRPr="002B2630">
        <w:rPr>
          <w:rFonts w:asciiTheme="minorHAnsi" w:hAnsiTheme="minorHAnsi"/>
          <w:sz w:val="22"/>
          <w:szCs w:val="22"/>
        </w:rPr>
        <w:t xml:space="preserve">Kane, A., Marcus, A.J. and McDonald, R.L., 1985. Debt policy and the rate of return premium to leverage. </w:t>
      </w:r>
      <w:r w:rsidRPr="002B2630">
        <w:rPr>
          <w:rFonts w:asciiTheme="minorHAnsi" w:hAnsiTheme="minorHAnsi"/>
          <w:i/>
          <w:sz w:val="22"/>
          <w:szCs w:val="22"/>
        </w:rPr>
        <w:t>Journal of Financial and Quantitative Analysis</w:t>
      </w:r>
      <w:r w:rsidRPr="002B2630">
        <w:rPr>
          <w:rFonts w:asciiTheme="minorHAnsi" w:hAnsiTheme="minorHAnsi"/>
          <w:sz w:val="22"/>
          <w:szCs w:val="22"/>
        </w:rPr>
        <w:t>, 20, 479-499.</w:t>
      </w:r>
    </w:p>
    <w:p w:rsidR="00871120" w:rsidRPr="002B2630" w:rsidRDefault="00871120" w:rsidP="00871120">
      <w:pPr>
        <w:spacing w:after="120"/>
        <w:ind w:left="709" w:hanging="709"/>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Kaufmann, D., Kraay, A., and Mastruzzi, M., 2009. Governance Matters VIII: Aggregate and Individual Governance Indicators, 1996-2008. World Bank Policy Research Working Paper No. 4978.</w:t>
      </w:r>
    </w:p>
    <w:p w:rsidR="007B2698" w:rsidRPr="007B2698" w:rsidRDefault="007B2698" w:rsidP="007B2698">
      <w:pPr>
        <w:spacing w:after="120"/>
        <w:ind w:left="709" w:hanging="709"/>
        <w:jc w:val="both"/>
        <w:rPr>
          <w:rFonts w:asciiTheme="minorHAnsi" w:hAnsiTheme="minorHAnsi" w:cstheme="minorHAnsi"/>
          <w:sz w:val="22"/>
          <w:szCs w:val="22"/>
          <w:lang w:val="en-GB"/>
        </w:rPr>
      </w:pPr>
      <w:r w:rsidRPr="007B2698">
        <w:rPr>
          <w:rFonts w:asciiTheme="minorHAnsi" w:hAnsiTheme="minorHAnsi" w:cstheme="minorHAnsi"/>
          <w:sz w:val="22"/>
          <w:szCs w:val="22"/>
          <w:lang w:val="en-US"/>
        </w:rPr>
        <w:t xml:space="preserve">La Porta, R., Lopez-de-Silanes, F., Shleifer, A., and Vishny, R.W., 1997. </w:t>
      </w:r>
      <w:r w:rsidRPr="007B2698">
        <w:rPr>
          <w:rFonts w:asciiTheme="minorHAnsi" w:hAnsiTheme="minorHAnsi" w:cstheme="minorHAnsi"/>
          <w:sz w:val="22"/>
          <w:szCs w:val="22"/>
          <w:lang w:val="en-GB"/>
        </w:rPr>
        <w:t>Legal determinants of external finance. Journal of Finance 53, 1131–1150.</w:t>
      </w:r>
    </w:p>
    <w:p w:rsidR="007B2698" w:rsidRDefault="007B2698" w:rsidP="007B2698">
      <w:pPr>
        <w:spacing w:after="120"/>
        <w:ind w:left="709" w:hanging="709"/>
        <w:jc w:val="both"/>
        <w:rPr>
          <w:rFonts w:asciiTheme="minorHAnsi" w:hAnsiTheme="minorHAnsi" w:cstheme="minorHAnsi"/>
          <w:sz w:val="22"/>
          <w:szCs w:val="22"/>
          <w:lang w:val="en-GB"/>
        </w:rPr>
      </w:pPr>
      <w:r w:rsidRPr="007064C1">
        <w:rPr>
          <w:rFonts w:asciiTheme="minorHAnsi" w:hAnsiTheme="minorHAnsi" w:cstheme="minorHAnsi"/>
          <w:sz w:val="22"/>
          <w:szCs w:val="22"/>
        </w:rPr>
        <w:t xml:space="preserve">La Porta, R., Lopez-de-Silanes, F., Shleifer, A., and Vishny, R.W., 1998. </w:t>
      </w:r>
      <w:r w:rsidRPr="007B2698">
        <w:rPr>
          <w:rFonts w:asciiTheme="minorHAnsi" w:hAnsiTheme="minorHAnsi" w:cstheme="minorHAnsi"/>
          <w:sz w:val="22"/>
          <w:szCs w:val="22"/>
          <w:lang w:val="en-GB"/>
        </w:rPr>
        <w:t>Law and finance. Journal of Political Economy 106, 1113–1155.</w:t>
      </w:r>
    </w:p>
    <w:p w:rsidR="00871120" w:rsidRPr="002B2630" w:rsidRDefault="00871120" w:rsidP="007B2698">
      <w:pPr>
        <w:spacing w:after="120"/>
        <w:ind w:left="709" w:hanging="709"/>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Myers, S.C., 1977. Determinants of corporate borrowing. Journal of Financial Economics, 5 (2), 147-175.</w:t>
      </w:r>
    </w:p>
    <w:p w:rsidR="00871120" w:rsidRPr="002B2630" w:rsidRDefault="00871120" w:rsidP="00871120">
      <w:pPr>
        <w:pStyle w:val="Textoindependiente"/>
        <w:ind w:left="709" w:hanging="709"/>
        <w:jc w:val="both"/>
        <w:rPr>
          <w:rFonts w:asciiTheme="minorHAnsi" w:hAnsiTheme="minorHAnsi"/>
          <w:sz w:val="22"/>
          <w:szCs w:val="22"/>
        </w:rPr>
      </w:pPr>
      <w:r w:rsidRPr="002B2630">
        <w:rPr>
          <w:rFonts w:asciiTheme="minorHAnsi" w:hAnsiTheme="minorHAnsi"/>
          <w:sz w:val="22"/>
          <w:szCs w:val="22"/>
        </w:rPr>
        <w:t>Petersen, M., and Rajan, R., 1995. The effect of credit market competition on lending relationships. Quarterly Journal of Economics (May), 407-443</w:t>
      </w:r>
    </w:p>
    <w:p w:rsidR="00871120" w:rsidRPr="002B2630" w:rsidRDefault="00871120" w:rsidP="00871120">
      <w:pPr>
        <w:spacing w:after="120"/>
        <w:ind w:left="709" w:hanging="709"/>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Qian, J., and Strahan, P.E., 2007. How law and institutions shape financial contracts: The case of bank loans. Journal of Finance 62, 2803-2834.</w:t>
      </w:r>
    </w:p>
    <w:p w:rsidR="00871120" w:rsidRPr="002B2630" w:rsidRDefault="00871120" w:rsidP="00871120">
      <w:pPr>
        <w:spacing w:after="120"/>
        <w:ind w:left="709" w:hanging="709"/>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Rajan, R.G., 1992. Insiders and outsiders: the choice between informed and arm’s length debt. Journal of Finance 47, 1367-1400.</w:t>
      </w:r>
    </w:p>
    <w:p w:rsidR="00871120" w:rsidRDefault="00871120" w:rsidP="00871120">
      <w:pPr>
        <w:spacing w:after="120"/>
        <w:ind w:left="709" w:hanging="709"/>
        <w:jc w:val="both"/>
        <w:rPr>
          <w:rFonts w:asciiTheme="minorHAnsi" w:hAnsiTheme="minorHAnsi" w:cstheme="minorHAnsi"/>
          <w:sz w:val="22"/>
          <w:szCs w:val="22"/>
          <w:lang w:val="en-GB"/>
        </w:rPr>
      </w:pPr>
      <w:r w:rsidRPr="002B2630">
        <w:rPr>
          <w:rFonts w:asciiTheme="minorHAnsi" w:hAnsiTheme="minorHAnsi" w:cstheme="minorHAnsi"/>
          <w:sz w:val="22"/>
          <w:szCs w:val="22"/>
          <w:lang w:val="en-GB"/>
        </w:rPr>
        <w:t>Stohs, M.H. and Mauer, D.C., 1996. The determinants of corporate debt maturity structure. Journal of Business, 69, 279-312.</w:t>
      </w:r>
    </w:p>
    <w:p w:rsidR="00F90DA0" w:rsidRDefault="00F90DA0">
      <w:pPr>
        <w:spacing w:after="200" w:line="276" w:lineRule="auto"/>
        <w:rPr>
          <w:rFonts w:asciiTheme="minorHAnsi" w:hAnsiTheme="minorHAnsi" w:cstheme="minorHAnsi"/>
          <w:sz w:val="22"/>
          <w:szCs w:val="22"/>
          <w:lang w:val="en-GB"/>
        </w:rPr>
        <w:sectPr w:rsidR="00F90DA0">
          <w:footerReference w:type="default" r:id="rId16"/>
          <w:pgSz w:w="11906" w:h="16838"/>
          <w:pgMar w:top="1417" w:right="1701" w:bottom="1417" w:left="1701" w:header="708" w:footer="708" w:gutter="0"/>
          <w:cols w:space="708"/>
          <w:docGrid w:linePitch="360"/>
        </w:sectPr>
      </w:pPr>
    </w:p>
    <w:p w:rsidR="00F90DA0" w:rsidRPr="002B2630" w:rsidRDefault="00F90DA0" w:rsidP="00F90DA0">
      <w:pPr>
        <w:pStyle w:val="Textoindependiente"/>
        <w:spacing w:after="0"/>
        <w:jc w:val="center"/>
        <w:rPr>
          <w:rFonts w:ascii="Verdana" w:hAnsi="Verdana"/>
          <w:b/>
          <w:sz w:val="22"/>
          <w:szCs w:val="22"/>
        </w:rPr>
      </w:pPr>
      <w:r w:rsidRPr="002B2630">
        <w:rPr>
          <w:rFonts w:ascii="Verdana" w:hAnsi="Verdana"/>
          <w:b/>
          <w:sz w:val="22"/>
          <w:szCs w:val="22"/>
        </w:rPr>
        <w:lastRenderedPageBreak/>
        <w:t>Table 1. Descriptive statistics</w:t>
      </w:r>
    </w:p>
    <w:p w:rsidR="008552EE" w:rsidRDefault="008552EE" w:rsidP="008552EE">
      <w:pPr>
        <w:ind w:left="-567" w:right="-427"/>
        <w:jc w:val="both"/>
        <w:rPr>
          <w:rFonts w:ascii="Verdana" w:hAnsi="Verdana" w:cstheme="minorHAnsi"/>
          <w:sz w:val="16"/>
          <w:szCs w:val="16"/>
          <w:lang w:val="en-GB"/>
        </w:rPr>
      </w:pPr>
      <w:r w:rsidRPr="002B2630">
        <w:rPr>
          <w:rFonts w:ascii="Verdana" w:hAnsi="Verdana"/>
          <w:sz w:val="16"/>
          <w:szCs w:val="16"/>
          <w:lang w:val="en-GB"/>
        </w:rPr>
        <w:t xml:space="preserve">Panels A, B, C report the descriptive statistics of firm- and country-level variables for the overall sample and for the subsamples of large and small firms. DEBT_MAT is the percentage of the firm’s total debt that has a maturity of more than one year. ASSET_MAT is the ratio between net fixed assets and total assets. GROWTH is the market-to-book ratio. SIZE is the natural logarithm of sales. VOL_EBIT is the absolute value of change in </w:t>
      </w:r>
      <w:r w:rsidR="00D474E2">
        <w:rPr>
          <w:rFonts w:ascii="Verdana" w:hAnsi="Verdana"/>
          <w:sz w:val="16"/>
          <w:szCs w:val="16"/>
          <w:lang w:val="en-GB"/>
        </w:rPr>
        <w:t>EBIT</w:t>
      </w:r>
      <w:r w:rsidRPr="002B2630">
        <w:rPr>
          <w:rFonts w:ascii="Verdana" w:hAnsi="Verdana"/>
          <w:sz w:val="16"/>
          <w:szCs w:val="16"/>
          <w:lang w:val="en-GB"/>
        </w:rPr>
        <w:t xml:space="preserve">. FIRM_QUALITY is the ratio of net income plus depreciation to net debt. LEV is the ratio between total debt and the firm’s market value. RULE OF LAW is one of the six dimensions of the Worldwide Governance Indicators compiled by Kaufmann </w:t>
      </w:r>
      <w:r w:rsidRPr="005E2B08">
        <w:rPr>
          <w:rFonts w:ascii="Verdana" w:hAnsi="Verdana"/>
          <w:i/>
          <w:sz w:val="16"/>
          <w:szCs w:val="16"/>
          <w:lang w:val="en-GB"/>
        </w:rPr>
        <w:t>et al.</w:t>
      </w:r>
      <w:r w:rsidRPr="002B2630">
        <w:rPr>
          <w:rFonts w:ascii="Verdana" w:hAnsi="Verdana"/>
          <w:sz w:val="16"/>
          <w:szCs w:val="16"/>
          <w:lang w:val="en-GB"/>
        </w:rPr>
        <w:t xml:space="preserve"> (2009) and is a measure of the efficiency of the legal system</w:t>
      </w:r>
      <w:r>
        <w:rPr>
          <w:rFonts w:ascii="Verdana" w:hAnsi="Verdana"/>
          <w:sz w:val="16"/>
          <w:szCs w:val="16"/>
          <w:lang w:val="en-GB"/>
        </w:rPr>
        <w:t xml:space="preserve"> and </w:t>
      </w:r>
      <w:r w:rsidRPr="002B2630">
        <w:rPr>
          <w:rFonts w:ascii="Verdana" w:hAnsi="Verdana"/>
          <w:sz w:val="16"/>
          <w:szCs w:val="16"/>
          <w:lang w:val="en-GB"/>
        </w:rPr>
        <w:t xml:space="preserve">the protection of property rights. C_RIGHTS measures the protection of creditor rights. BANK_CONC is the fraction of assets held by the three largest commercial banks in each country. BANK_CREDIT is the ratio of private credit by deposit money banks to GDP. </w:t>
      </w:r>
      <w:r w:rsidRPr="002B2630">
        <w:rPr>
          <w:rFonts w:ascii="Verdana" w:hAnsi="Verdana" w:cstheme="minorHAnsi"/>
          <w:sz w:val="16"/>
          <w:szCs w:val="16"/>
          <w:lang w:val="en-GB"/>
        </w:rPr>
        <w:t>We split the overall sample into quartiles according to the amount of total assets. Large firms are those in the largest quartile, while small firms are those belonging to the smallest quartile.</w:t>
      </w:r>
    </w:p>
    <w:p w:rsidR="00F90DA0" w:rsidRPr="002B2630" w:rsidRDefault="00F90DA0" w:rsidP="00F90DA0">
      <w:pPr>
        <w:ind w:left="-567" w:right="-427"/>
        <w:jc w:val="both"/>
        <w:rPr>
          <w:rFonts w:ascii="Verdana" w:hAnsi="Verdana"/>
          <w:sz w:val="16"/>
          <w:szCs w:val="16"/>
          <w:lang w:val="en-GB"/>
        </w:rPr>
      </w:pPr>
    </w:p>
    <w:tbl>
      <w:tblPr>
        <w:tblW w:w="9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3"/>
        <w:gridCol w:w="1260"/>
        <w:gridCol w:w="1440"/>
        <w:gridCol w:w="1440"/>
        <w:gridCol w:w="1080"/>
        <w:gridCol w:w="1080"/>
        <w:gridCol w:w="1260"/>
      </w:tblGrid>
      <w:tr w:rsidR="00F90DA0" w:rsidRPr="002B2630" w:rsidTr="00A14B33">
        <w:trPr>
          <w:jc w:val="center"/>
        </w:trPr>
        <w:tc>
          <w:tcPr>
            <w:tcW w:w="2053" w:type="dxa"/>
            <w:tcBorders>
              <w:top w:val="double" w:sz="4" w:space="0" w:color="auto"/>
              <w:left w:val="nil"/>
              <w:bottom w:val="single" w:sz="4" w:space="0" w:color="auto"/>
              <w:right w:val="nil"/>
            </w:tcBorders>
          </w:tcPr>
          <w:p w:rsidR="00F90DA0" w:rsidRPr="002B2630" w:rsidRDefault="00F90DA0" w:rsidP="00A14B33">
            <w:pPr>
              <w:spacing w:before="100" w:after="100"/>
              <w:jc w:val="center"/>
              <w:rPr>
                <w:rFonts w:ascii="Verdana" w:hAnsi="Verdana"/>
                <w:sz w:val="14"/>
                <w:szCs w:val="14"/>
                <w:lang w:val="en-GB"/>
              </w:rPr>
            </w:pPr>
          </w:p>
        </w:tc>
        <w:tc>
          <w:tcPr>
            <w:tcW w:w="1260" w:type="dxa"/>
            <w:tcBorders>
              <w:top w:val="double" w:sz="4" w:space="0" w:color="auto"/>
              <w:left w:val="nil"/>
              <w:bottom w:val="single" w:sz="4" w:space="0" w:color="auto"/>
              <w:right w:val="nil"/>
            </w:tcBorders>
          </w:tcPr>
          <w:p w:rsidR="00F90DA0" w:rsidRPr="002B2630" w:rsidRDefault="00F90DA0" w:rsidP="00A14B33">
            <w:pPr>
              <w:jc w:val="center"/>
              <w:rPr>
                <w:rFonts w:ascii="Verdana" w:hAnsi="Verdana"/>
                <w:bCs/>
                <w:sz w:val="14"/>
                <w:szCs w:val="14"/>
                <w:lang w:val="en-GB"/>
              </w:rPr>
            </w:pPr>
            <w:r w:rsidRPr="002B2630">
              <w:rPr>
                <w:rFonts w:ascii="Verdana" w:hAnsi="Verdana"/>
                <w:bCs/>
                <w:sz w:val="14"/>
                <w:szCs w:val="14"/>
                <w:lang w:val="en-GB"/>
              </w:rPr>
              <w:t>Number of observations</w:t>
            </w:r>
          </w:p>
        </w:tc>
        <w:tc>
          <w:tcPr>
            <w:tcW w:w="1440" w:type="dxa"/>
            <w:tcBorders>
              <w:top w:val="double" w:sz="4" w:space="0" w:color="auto"/>
              <w:left w:val="nil"/>
              <w:bottom w:val="single" w:sz="4" w:space="0" w:color="auto"/>
              <w:right w:val="nil"/>
            </w:tcBorders>
          </w:tcPr>
          <w:p w:rsidR="00F90DA0" w:rsidRPr="002B2630" w:rsidRDefault="00F90DA0" w:rsidP="00A14B33">
            <w:pPr>
              <w:jc w:val="center"/>
              <w:rPr>
                <w:rFonts w:ascii="Verdana" w:hAnsi="Verdana"/>
                <w:bCs/>
                <w:sz w:val="14"/>
                <w:szCs w:val="14"/>
                <w:lang w:val="en-GB"/>
              </w:rPr>
            </w:pPr>
            <w:r w:rsidRPr="002B2630">
              <w:rPr>
                <w:rFonts w:ascii="Verdana" w:hAnsi="Verdana"/>
                <w:bCs/>
                <w:sz w:val="14"/>
                <w:szCs w:val="14"/>
                <w:lang w:val="en-GB"/>
              </w:rPr>
              <w:t>Mean</w:t>
            </w:r>
          </w:p>
        </w:tc>
        <w:tc>
          <w:tcPr>
            <w:tcW w:w="1440" w:type="dxa"/>
            <w:tcBorders>
              <w:top w:val="double" w:sz="4" w:space="0" w:color="auto"/>
              <w:left w:val="nil"/>
              <w:bottom w:val="single" w:sz="4" w:space="0" w:color="auto"/>
              <w:right w:val="nil"/>
            </w:tcBorders>
          </w:tcPr>
          <w:p w:rsidR="00F90DA0" w:rsidRPr="002B2630" w:rsidRDefault="00F90DA0" w:rsidP="00A14B33">
            <w:pPr>
              <w:jc w:val="center"/>
              <w:rPr>
                <w:rFonts w:ascii="Verdana" w:hAnsi="Verdana"/>
                <w:bCs/>
                <w:sz w:val="14"/>
                <w:szCs w:val="14"/>
                <w:lang w:val="en-GB"/>
              </w:rPr>
            </w:pPr>
            <w:r w:rsidRPr="002B2630">
              <w:rPr>
                <w:rFonts w:ascii="Verdana" w:hAnsi="Verdana"/>
                <w:bCs/>
                <w:sz w:val="14"/>
                <w:szCs w:val="14"/>
                <w:lang w:val="en-GB"/>
              </w:rPr>
              <w:t>Median</w:t>
            </w:r>
          </w:p>
        </w:tc>
        <w:tc>
          <w:tcPr>
            <w:tcW w:w="1080" w:type="dxa"/>
            <w:tcBorders>
              <w:top w:val="double" w:sz="4" w:space="0" w:color="auto"/>
              <w:left w:val="nil"/>
              <w:bottom w:val="single" w:sz="4" w:space="0" w:color="auto"/>
              <w:right w:val="nil"/>
            </w:tcBorders>
          </w:tcPr>
          <w:p w:rsidR="00F90DA0" w:rsidRPr="002B2630" w:rsidRDefault="00F90DA0" w:rsidP="00A14B33">
            <w:pPr>
              <w:jc w:val="center"/>
              <w:rPr>
                <w:rFonts w:ascii="Verdana" w:hAnsi="Verdana"/>
                <w:bCs/>
                <w:sz w:val="14"/>
                <w:szCs w:val="14"/>
                <w:lang w:val="en-GB"/>
              </w:rPr>
            </w:pPr>
            <w:r w:rsidRPr="002B2630">
              <w:rPr>
                <w:rFonts w:ascii="Verdana" w:hAnsi="Verdana"/>
                <w:bCs/>
                <w:sz w:val="14"/>
                <w:szCs w:val="14"/>
                <w:lang w:val="en-GB"/>
              </w:rPr>
              <w:t>Standard Deviation</w:t>
            </w:r>
          </w:p>
        </w:tc>
        <w:tc>
          <w:tcPr>
            <w:tcW w:w="1080" w:type="dxa"/>
            <w:tcBorders>
              <w:top w:val="double" w:sz="4" w:space="0" w:color="auto"/>
              <w:left w:val="nil"/>
              <w:bottom w:val="single" w:sz="4" w:space="0" w:color="auto"/>
              <w:right w:val="nil"/>
            </w:tcBorders>
          </w:tcPr>
          <w:p w:rsidR="00F90DA0" w:rsidRPr="002B2630" w:rsidRDefault="00F90DA0" w:rsidP="00A14B33">
            <w:pPr>
              <w:jc w:val="center"/>
              <w:rPr>
                <w:rFonts w:ascii="Verdana" w:hAnsi="Verdana"/>
                <w:bCs/>
                <w:sz w:val="14"/>
                <w:szCs w:val="14"/>
                <w:lang w:val="en-GB"/>
              </w:rPr>
            </w:pPr>
            <w:r w:rsidRPr="002B2630">
              <w:rPr>
                <w:rFonts w:ascii="Verdana" w:hAnsi="Verdana"/>
                <w:bCs/>
                <w:sz w:val="14"/>
                <w:szCs w:val="14"/>
                <w:lang w:val="en-GB"/>
              </w:rPr>
              <w:t>First quartile</w:t>
            </w:r>
          </w:p>
        </w:tc>
        <w:tc>
          <w:tcPr>
            <w:tcW w:w="1260" w:type="dxa"/>
            <w:tcBorders>
              <w:top w:val="double" w:sz="4" w:space="0" w:color="auto"/>
              <w:left w:val="nil"/>
              <w:bottom w:val="single" w:sz="4" w:space="0" w:color="auto"/>
              <w:right w:val="nil"/>
            </w:tcBorders>
          </w:tcPr>
          <w:p w:rsidR="00F90DA0" w:rsidRPr="002B2630" w:rsidRDefault="00F90DA0" w:rsidP="00A14B33">
            <w:pPr>
              <w:jc w:val="center"/>
              <w:rPr>
                <w:rFonts w:ascii="Verdana" w:hAnsi="Verdana"/>
                <w:bCs/>
                <w:sz w:val="14"/>
                <w:szCs w:val="14"/>
                <w:lang w:val="en-GB"/>
              </w:rPr>
            </w:pPr>
            <w:r w:rsidRPr="002B2630">
              <w:rPr>
                <w:rFonts w:ascii="Verdana" w:hAnsi="Verdana"/>
                <w:bCs/>
                <w:sz w:val="14"/>
                <w:szCs w:val="14"/>
                <w:lang w:val="en-GB"/>
              </w:rPr>
              <w:t>Third</w:t>
            </w:r>
          </w:p>
          <w:p w:rsidR="00F90DA0" w:rsidRPr="002B2630" w:rsidRDefault="00F90DA0" w:rsidP="00A14B33">
            <w:pPr>
              <w:jc w:val="center"/>
              <w:rPr>
                <w:rFonts w:ascii="Verdana" w:hAnsi="Verdana"/>
                <w:bCs/>
                <w:sz w:val="14"/>
                <w:szCs w:val="14"/>
                <w:lang w:val="en-GB"/>
              </w:rPr>
            </w:pPr>
            <w:r w:rsidRPr="002B2630">
              <w:rPr>
                <w:rFonts w:ascii="Verdana" w:hAnsi="Verdana"/>
                <w:bCs/>
                <w:sz w:val="14"/>
                <w:szCs w:val="14"/>
                <w:lang w:val="en-GB"/>
              </w:rPr>
              <w:t>quartile</w:t>
            </w:r>
          </w:p>
        </w:tc>
      </w:tr>
      <w:tr w:rsidR="00F90DA0" w:rsidRPr="002B2630" w:rsidTr="00A14B33">
        <w:trPr>
          <w:jc w:val="center"/>
        </w:trPr>
        <w:tc>
          <w:tcPr>
            <w:tcW w:w="2053" w:type="dxa"/>
            <w:tcBorders>
              <w:top w:val="single" w:sz="4" w:space="0" w:color="auto"/>
              <w:left w:val="nil"/>
              <w:bottom w:val="single" w:sz="4" w:space="0" w:color="auto"/>
              <w:right w:val="nil"/>
            </w:tcBorders>
          </w:tcPr>
          <w:p w:rsidR="00F90DA0" w:rsidRPr="002B2630" w:rsidRDefault="00F90DA0" w:rsidP="00A14B33">
            <w:pPr>
              <w:rPr>
                <w:rFonts w:ascii="Verdana" w:hAnsi="Verdana"/>
                <w:i/>
                <w:color w:val="000000"/>
                <w:sz w:val="14"/>
                <w:szCs w:val="14"/>
                <w:lang w:val="en-GB"/>
              </w:rPr>
            </w:pPr>
            <w:r w:rsidRPr="002B2630">
              <w:rPr>
                <w:rFonts w:ascii="Verdana" w:hAnsi="Verdana"/>
                <w:i/>
                <w:color w:val="000000"/>
                <w:sz w:val="14"/>
                <w:szCs w:val="14"/>
                <w:lang w:val="en-GB"/>
              </w:rPr>
              <w:t>Panel A: Overall Sample</w:t>
            </w:r>
          </w:p>
        </w:tc>
        <w:tc>
          <w:tcPr>
            <w:tcW w:w="1260" w:type="dxa"/>
            <w:tcBorders>
              <w:top w:val="single" w:sz="4" w:space="0" w:color="auto"/>
              <w:left w:val="nil"/>
              <w:bottom w:val="single" w:sz="4" w:space="0" w:color="auto"/>
              <w:right w:val="nil"/>
            </w:tcBorders>
          </w:tcPr>
          <w:p w:rsidR="00F90DA0" w:rsidRPr="002B2630" w:rsidRDefault="00F90DA0" w:rsidP="00A14B33">
            <w:pPr>
              <w:jc w:val="center"/>
              <w:rPr>
                <w:rFonts w:ascii="Verdana" w:hAnsi="Verdana"/>
                <w:i/>
                <w:color w:val="000000"/>
                <w:sz w:val="14"/>
                <w:szCs w:val="14"/>
                <w:lang w:val="en-GB"/>
              </w:rPr>
            </w:pPr>
          </w:p>
        </w:tc>
        <w:tc>
          <w:tcPr>
            <w:tcW w:w="1440" w:type="dxa"/>
            <w:tcBorders>
              <w:top w:val="single" w:sz="4" w:space="0" w:color="auto"/>
              <w:left w:val="nil"/>
              <w:bottom w:val="single" w:sz="4" w:space="0" w:color="auto"/>
              <w:right w:val="nil"/>
            </w:tcBorders>
          </w:tcPr>
          <w:p w:rsidR="00F90DA0" w:rsidRPr="002B2630" w:rsidRDefault="00F90DA0" w:rsidP="00A14B33">
            <w:pPr>
              <w:jc w:val="center"/>
              <w:rPr>
                <w:rFonts w:ascii="Verdana" w:hAnsi="Verdana"/>
                <w:i/>
                <w:color w:val="000000"/>
                <w:sz w:val="14"/>
                <w:szCs w:val="14"/>
                <w:lang w:val="en-GB"/>
              </w:rPr>
            </w:pPr>
          </w:p>
        </w:tc>
        <w:tc>
          <w:tcPr>
            <w:tcW w:w="1440" w:type="dxa"/>
            <w:tcBorders>
              <w:top w:val="single" w:sz="4" w:space="0" w:color="auto"/>
              <w:left w:val="nil"/>
              <w:bottom w:val="single" w:sz="4" w:space="0" w:color="auto"/>
              <w:right w:val="nil"/>
            </w:tcBorders>
          </w:tcPr>
          <w:p w:rsidR="00F90DA0" w:rsidRPr="002B2630" w:rsidRDefault="00F90DA0" w:rsidP="00A14B33">
            <w:pPr>
              <w:jc w:val="center"/>
              <w:rPr>
                <w:rFonts w:ascii="Verdana" w:hAnsi="Verdana"/>
                <w:i/>
                <w:color w:val="000000"/>
                <w:sz w:val="14"/>
                <w:szCs w:val="14"/>
                <w:lang w:val="en-GB"/>
              </w:rPr>
            </w:pPr>
          </w:p>
        </w:tc>
        <w:tc>
          <w:tcPr>
            <w:tcW w:w="1080" w:type="dxa"/>
            <w:tcBorders>
              <w:top w:val="single" w:sz="4" w:space="0" w:color="auto"/>
              <w:left w:val="nil"/>
              <w:bottom w:val="single" w:sz="4" w:space="0" w:color="auto"/>
              <w:right w:val="nil"/>
            </w:tcBorders>
          </w:tcPr>
          <w:p w:rsidR="00F90DA0" w:rsidRPr="002B2630" w:rsidRDefault="00F90DA0" w:rsidP="00A14B33">
            <w:pPr>
              <w:jc w:val="center"/>
              <w:rPr>
                <w:rFonts w:ascii="Verdana" w:hAnsi="Verdana"/>
                <w:i/>
                <w:sz w:val="14"/>
                <w:szCs w:val="14"/>
                <w:lang w:val="en-GB"/>
              </w:rPr>
            </w:pPr>
          </w:p>
        </w:tc>
        <w:tc>
          <w:tcPr>
            <w:tcW w:w="1080" w:type="dxa"/>
            <w:tcBorders>
              <w:top w:val="single" w:sz="4" w:space="0" w:color="auto"/>
              <w:left w:val="nil"/>
              <w:bottom w:val="single" w:sz="4" w:space="0" w:color="auto"/>
              <w:right w:val="nil"/>
            </w:tcBorders>
          </w:tcPr>
          <w:p w:rsidR="00F90DA0" w:rsidRPr="002B2630" w:rsidRDefault="00F90DA0" w:rsidP="00A14B33">
            <w:pPr>
              <w:jc w:val="center"/>
              <w:rPr>
                <w:rFonts w:ascii="Verdana" w:hAnsi="Verdana"/>
                <w:i/>
                <w:color w:val="000000"/>
                <w:sz w:val="14"/>
                <w:szCs w:val="14"/>
                <w:lang w:val="en-GB"/>
              </w:rPr>
            </w:pPr>
          </w:p>
        </w:tc>
        <w:tc>
          <w:tcPr>
            <w:tcW w:w="1260" w:type="dxa"/>
            <w:tcBorders>
              <w:top w:val="single" w:sz="4" w:space="0" w:color="auto"/>
              <w:left w:val="nil"/>
              <w:bottom w:val="single" w:sz="4" w:space="0" w:color="auto"/>
              <w:right w:val="nil"/>
            </w:tcBorders>
          </w:tcPr>
          <w:p w:rsidR="00F90DA0" w:rsidRPr="002B2630" w:rsidRDefault="00F90DA0" w:rsidP="00A14B33">
            <w:pPr>
              <w:jc w:val="center"/>
              <w:rPr>
                <w:rFonts w:ascii="Verdana" w:hAnsi="Verdana"/>
                <w:i/>
                <w:color w:val="000000"/>
                <w:sz w:val="14"/>
                <w:szCs w:val="14"/>
                <w:lang w:val="en-GB"/>
              </w:rPr>
            </w:pPr>
          </w:p>
        </w:tc>
      </w:tr>
      <w:tr w:rsidR="00F90DA0" w:rsidRPr="002B2630" w:rsidTr="00A14B33">
        <w:trPr>
          <w:jc w:val="center"/>
        </w:trPr>
        <w:tc>
          <w:tcPr>
            <w:tcW w:w="2053" w:type="dxa"/>
            <w:tcBorders>
              <w:top w:val="single" w:sz="4" w:space="0" w:color="auto"/>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DEBT_MAT (%)</w:t>
            </w:r>
          </w:p>
        </w:tc>
        <w:tc>
          <w:tcPr>
            <w:tcW w:w="1260" w:type="dxa"/>
            <w:tcBorders>
              <w:top w:val="single" w:sz="4" w:space="0" w:color="auto"/>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171,892</w:t>
            </w:r>
          </w:p>
        </w:tc>
        <w:tc>
          <w:tcPr>
            <w:tcW w:w="1440" w:type="dxa"/>
            <w:tcBorders>
              <w:top w:val="single" w:sz="4" w:space="0" w:color="auto"/>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47.19</w:t>
            </w:r>
          </w:p>
        </w:tc>
        <w:tc>
          <w:tcPr>
            <w:tcW w:w="1440" w:type="dxa"/>
            <w:tcBorders>
              <w:top w:val="single" w:sz="4" w:space="0" w:color="auto"/>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48.19</w:t>
            </w:r>
          </w:p>
        </w:tc>
        <w:tc>
          <w:tcPr>
            <w:tcW w:w="1080" w:type="dxa"/>
            <w:tcBorders>
              <w:top w:val="single" w:sz="4" w:space="0" w:color="auto"/>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34.01</w:t>
            </w:r>
          </w:p>
        </w:tc>
        <w:tc>
          <w:tcPr>
            <w:tcW w:w="1080" w:type="dxa"/>
            <w:tcBorders>
              <w:top w:val="single" w:sz="4" w:space="0" w:color="auto"/>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14.23</w:t>
            </w:r>
          </w:p>
        </w:tc>
        <w:tc>
          <w:tcPr>
            <w:tcW w:w="1260" w:type="dxa"/>
            <w:tcBorders>
              <w:top w:val="single" w:sz="4" w:space="0" w:color="auto"/>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77.35</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ASSET_MAT (%)</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171,892</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33.22</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30.36</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22.19</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15.58</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47.49</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GROWTH</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171,892</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1.79</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1.21</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2.02</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0.69</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2.15</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SIZE</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171,892</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5.19</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5.15</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2.09</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3.88</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6.50</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VOL_EBIT</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171,892</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1.28</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0.48</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2.77</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0.20</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1.14</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FIRM_QUALITY</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171,892</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2.22</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0.38</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10.56</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0.16</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0.96</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LEV (%)</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171,892</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33.00</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28.31</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25.03</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11.45</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50.88</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RULE_OF_LAW</w:t>
            </w:r>
          </w:p>
        </w:tc>
        <w:tc>
          <w:tcPr>
            <w:tcW w:w="1260" w:type="dxa"/>
            <w:tcBorders>
              <w:top w:val="nil"/>
              <w:left w:val="nil"/>
              <w:bottom w:val="nil"/>
              <w:right w:val="nil"/>
            </w:tcBorders>
          </w:tcPr>
          <w:p w:rsidR="00F90DA0" w:rsidRPr="002B2630" w:rsidRDefault="00F90DA0" w:rsidP="00A14B33">
            <w:pPr>
              <w:jc w:val="center"/>
              <w:rPr>
                <w:rFonts w:ascii="Verdana" w:hAnsi="Verdana"/>
                <w:i/>
                <w:color w:val="000000"/>
                <w:sz w:val="14"/>
                <w:szCs w:val="14"/>
                <w:lang w:val="en-GB"/>
              </w:rPr>
            </w:pPr>
            <w:r w:rsidRPr="002B2630">
              <w:rPr>
                <w:rFonts w:ascii="Verdana" w:hAnsi="Verdana"/>
                <w:color w:val="000000"/>
                <w:sz w:val="14"/>
                <w:szCs w:val="14"/>
                <w:lang w:val="en-GB"/>
              </w:rPr>
              <w:t>171,892</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1.09</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1.32</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0.70</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0.75</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1.66</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C_RIGHTS</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171,892</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2.00</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2.00</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1.09</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3</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BANK_CONC (%)</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164,507</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52.30</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46.75</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19.44</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36.12</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64.50</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BANK CREDIT (%)</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154,381</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91.59</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98.43</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40.01</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54.98</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109.71</w:t>
            </w:r>
          </w:p>
        </w:tc>
      </w:tr>
      <w:tr w:rsidR="00F90DA0" w:rsidRPr="002B2630" w:rsidTr="00A14B33">
        <w:trPr>
          <w:jc w:val="center"/>
        </w:trPr>
        <w:tc>
          <w:tcPr>
            <w:tcW w:w="2053" w:type="dxa"/>
            <w:tcBorders>
              <w:top w:val="single" w:sz="4" w:space="0" w:color="auto"/>
              <w:left w:val="nil"/>
              <w:bottom w:val="single" w:sz="4" w:space="0" w:color="auto"/>
              <w:right w:val="nil"/>
            </w:tcBorders>
          </w:tcPr>
          <w:p w:rsidR="00F90DA0" w:rsidRPr="002B2630" w:rsidRDefault="00F90DA0" w:rsidP="00A14B33">
            <w:pPr>
              <w:rPr>
                <w:rFonts w:ascii="Verdana" w:hAnsi="Verdana"/>
                <w:i/>
                <w:color w:val="000000"/>
                <w:sz w:val="14"/>
                <w:szCs w:val="14"/>
                <w:lang w:val="en-GB"/>
              </w:rPr>
            </w:pPr>
            <w:r w:rsidRPr="002B2630">
              <w:rPr>
                <w:rFonts w:ascii="Verdana" w:hAnsi="Verdana"/>
                <w:i/>
                <w:color w:val="000000"/>
                <w:sz w:val="14"/>
                <w:szCs w:val="14"/>
                <w:lang w:val="en-GB"/>
              </w:rPr>
              <w:t>Panel B: Large firms</w:t>
            </w:r>
          </w:p>
        </w:tc>
        <w:tc>
          <w:tcPr>
            <w:tcW w:w="1260" w:type="dxa"/>
            <w:tcBorders>
              <w:top w:val="single" w:sz="4" w:space="0" w:color="auto"/>
              <w:left w:val="nil"/>
              <w:bottom w:val="single" w:sz="4" w:space="0" w:color="auto"/>
              <w:right w:val="nil"/>
            </w:tcBorders>
          </w:tcPr>
          <w:p w:rsidR="00F90DA0" w:rsidRPr="002B2630" w:rsidRDefault="00F90DA0" w:rsidP="00A14B33">
            <w:pPr>
              <w:jc w:val="center"/>
              <w:rPr>
                <w:rFonts w:ascii="Verdana" w:hAnsi="Verdana"/>
                <w:i/>
                <w:color w:val="000000"/>
                <w:sz w:val="14"/>
                <w:szCs w:val="14"/>
                <w:lang w:val="en-GB"/>
              </w:rPr>
            </w:pPr>
          </w:p>
        </w:tc>
        <w:tc>
          <w:tcPr>
            <w:tcW w:w="1440" w:type="dxa"/>
            <w:tcBorders>
              <w:top w:val="single" w:sz="4" w:space="0" w:color="auto"/>
              <w:left w:val="nil"/>
              <w:bottom w:val="single" w:sz="4" w:space="0" w:color="auto"/>
              <w:right w:val="nil"/>
            </w:tcBorders>
          </w:tcPr>
          <w:p w:rsidR="00F90DA0" w:rsidRPr="002B2630" w:rsidRDefault="00F90DA0" w:rsidP="00A14B33">
            <w:pPr>
              <w:jc w:val="center"/>
              <w:rPr>
                <w:rFonts w:ascii="Verdana" w:hAnsi="Verdana"/>
                <w:i/>
                <w:color w:val="000000"/>
                <w:sz w:val="14"/>
                <w:szCs w:val="14"/>
                <w:lang w:val="en-GB"/>
              </w:rPr>
            </w:pPr>
          </w:p>
        </w:tc>
        <w:tc>
          <w:tcPr>
            <w:tcW w:w="1440" w:type="dxa"/>
            <w:tcBorders>
              <w:top w:val="single" w:sz="4" w:space="0" w:color="auto"/>
              <w:left w:val="nil"/>
              <w:bottom w:val="single" w:sz="4" w:space="0" w:color="auto"/>
              <w:right w:val="nil"/>
            </w:tcBorders>
          </w:tcPr>
          <w:p w:rsidR="00F90DA0" w:rsidRPr="002B2630" w:rsidRDefault="00F90DA0" w:rsidP="00A14B33">
            <w:pPr>
              <w:jc w:val="center"/>
              <w:rPr>
                <w:rFonts w:ascii="Verdana" w:hAnsi="Verdana"/>
                <w:i/>
                <w:color w:val="000000"/>
                <w:sz w:val="14"/>
                <w:szCs w:val="14"/>
                <w:lang w:val="en-GB"/>
              </w:rPr>
            </w:pPr>
          </w:p>
        </w:tc>
        <w:tc>
          <w:tcPr>
            <w:tcW w:w="1080" w:type="dxa"/>
            <w:tcBorders>
              <w:top w:val="single" w:sz="4" w:space="0" w:color="auto"/>
              <w:left w:val="nil"/>
              <w:bottom w:val="single" w:sz="4" w:space="0" w:color="auto"/>
              <w:right w:val="nil"/>
            </w:tcBorders>
          </w:tcPr>
          <w:p w:rsidR="00F90DA0" w:rsidRPr="002B2630" w:rsidRDefault="00F90DA0" w:rsidP="00A14B33">
            <w:pPr>
              <w:jc w:val="center"/>
              <w:rPr>
                <w:rFonts w:ascii="Verdana" w:hAnsi="Verdana"/>
                <w:i/>
                <w:sz w:val="14"/>
                <w:szCs w:val="14"/>
                <w:lang w:val="en-GB"/>
              </w:rPr>
            </w:pPr>
          </w:p>
        </w:tc>
        <w:tc>
          <w:tcPr>
            <w:tcW w:w="1080" w:type="dxa"/>
            <w:tcBorders>
              <w:top w:val="single" w:sz="4" w:space="0" w:color="auto"/>
              <w:left w:val="nil"/>
              <w:bottom w:val="single" w:sz="4" w:space="0" w:color="auto"/>
              <w:right w:val="nil"/>
            </w:tcBorders>
          </w:tcPr>
          <w:p w:rsidR="00F90DA0" w:rsidRPr="002B2630" w:rsidRDefault="00F90DA0" w:rsidP="00A14B33">
            <w:pPr>
              <w:jc w:val="center"/>
              <w:rPr>
                <w:rFonts w:ascii="Verdana" w:hAnsi="Verdana"/>
                <w:i/>
                <w:color w:val="000000"/>
                <w:sz w:val="14"/>
                <w:szCs w:val="14"/>
                <w:lang w:val="en-GB"/>
              </w:rPr>
            </w:pPr>
          </w:p>
        </w:tc>
        <w:tc>
          <w:tcPr>
            <w:tcW w:w="1260" w:type="dxa"/>
            <w:tcBorders>
              <w:top w:val="single" w:sz="4" w:space="0" w:color="auto"/>
              <w:left w:val="nil"/>
              <w:bottom w:val="single" w:sz="4" w:space="0" w:color="auto"/>
              <w:right w:val="nil"/>
            </w:tcBorders>
          </w:tcPr>
          <w:p w:rsidR="00F90DA0" w:rsidRPr="002B2630" w:rsidRDefault="00F90DA0" w:rsidP="00A14B33">
            <w:pPr>
              <w:jc w:val="center"/>
              <w:rPr>
                <w:rFonts w:ascii="Verdana" w:hAnsi="Verdana"/>
                <w:i/>
                <w:color w:val="000000"/>
                <w:sz w:val="14"/>
                <w:szCs w:val="14"/>
                <w:lang w:val="en-GB"/>
              </w:rPr>
            </w:pP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DEBT_MAT (%)</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42,973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63.15</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68.66</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29.06</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43.74</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88.08</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ASSET_MAT (%)</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42,973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35.34</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32.12</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22.06</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17.73</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50.05</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GROWTH</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42,973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2.08</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1.52</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2.01</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0.92</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2.51</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SIZE</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42,973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7.67</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7.53</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1.32</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6.85</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8.42</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VOL_EBIT</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42,973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1.00</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0.35</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2.37</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0.15</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0.86</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FIRM_QUALITY</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42,973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1.70</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0.39</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7.99</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0.20</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0.80</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LEV (%)</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42,973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34.51</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30.19</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24.11</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14.82</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50.93</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RULE_OF_LAW</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42,973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1.24</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1.43</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0.63</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1.04</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1.67</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C_RIGHTS</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42,973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1.83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1.00</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1.14</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1.00</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3.00</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BANK_CONC (%)</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41,723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51.53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44.96</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19.10</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35.66</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63.65</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BANK CREDIT (%)</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39,803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94.99</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99.61</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41.66</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55.48</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113.07</w:t>
            </w:r>
          </w:p>
        </w:tc>
      </w:tr>
      <w:tr w:rsidR="00F90DA0" w:rsidRPr="002B2630" w:rsidTr="00A14B33">
        <w:trPr>
          <w:jc w:val="center"/>
        </w:trPr>
        <w:tc>
          <w:tcPr>
            <w:tcW w:w="2053" w:type="dxa"/>
            <w:tcBorders>
              <w:top w:val="single" w:sz="4" w:space="0" w:color="auto"/>
              <w:left w:val="nil"/>
              <w:bottom w:val="single" w:sz="4" w:space="0" w:color="auto"/>
              <w:right w:val="nil"/>
            </w:tcBorders>
          </w:tcPr>
          <w:p w:rsidR="00F90DA0" w:rsidRPr="002B2630" w:rsidRDefault="00F90DA0" w:rsidP="00A14B33">
            <w:pPr>
              <w:rPr>
                <w:rFonts w:ascii="Verdana" w:hAnsi="Verdana"/>
                <w:i/>
                <w:color w:val="000000"/>
                <w:sz w:val="14"/>
                <w:szCs w:val="14"/>
                <w:lang w:val="en-GB"/>
              </w:rPr>
            </w:pPr>
            <w:r w:rsidRPr="002B2630">
              <w:rPr>
                <w:rFonts w:ascii="Verdana" w:hAnsi="Verdana"/>
                <w:i/>
                <w:color w:val="000000"/>
                <w:sz w:val="14"/>
                <w:szCs w:val="14"/>
                <w:lang w:val="en-GB"/>
              </w:rPr>
              <w:t>Panel C: Small firms</w:t>
            </w:r>
          </w:p>
        </w:tc>
        <w:tc>
          <w:tcPr>
            <w:tcW w:w="1260" w:type="dxa"/>
            <w:tcBorders>
              <w:top w:val="single" w:sz="4" w:space="0" w:color="auto"/>
              <w:left w:val="nil"/>
              <w:bottom w:val="single" w:sz="4" w:space="0" w:color="auto"/>
              <w:right w:val="nil"/>
            </w:tcBorders>
          </w:tcPr>
          <w:p w:rsidR="00F90DA0" w:rsidRPr="002B2630" w:rsidRDefault="00F90DA0" w:rsidP="00A14B33">
            <w:pPr>
              <w:jc w:val="center"/>
              <w:rPr>
                <w:rFonts w:ascii="Verdana" w:hAnsi="Verdana"/>
                <w:i/>
                <w:color w:val="000000"/>
                <w:sz w:val="14"/>
                <w:szCs w:val="14"/>
                <w:lang w:val="en-GB"/>
              </w:rPr>
            </w:pPr>
          </w:p>
        </w:tc>
        <w:tc>
          <w:tcPr>
            <w:tcW w:w="1440" w:type="dxa"/>
            <w:tcBorders>
              <w:top w:val="single" w:sz="4" w:space="0" w:color="auto"/>
              <w:left w:val="nil"/>
              <w:bottom w:val="single" w:sz="4" w:space="0" w:color="auto"/>
              <w:right w:val="nil"/>
            </w:tcBorders>
          </w:tcPr>
          <w:p w:rsidR="00F90DA0" w:rsidRPr="002B2630" w:rsidRDefault="00F90DA0" w:rsidP="00A14B33">
            <w:pPr>
              <w:jc w:val="center"/>
              <w:rPr>
                <w:rFonts w:ascii="Verdana" w:hAnsi="Verdana"/>
                <w:i/>
                <w:color w:val="000000"/>
                <w:sz w:val="14"/>
                <w:szCs w:val="14"/>
                <w:lang w:val="en-GB"/>
              </w:rPr>
            </w:pPr>
          </w:p>
        </w:tc>
        <w:tc>
          <w:tcPr>
            <w:tcW w:w="1440" w:type="dxa"/>
            <w:tcBorders>
              <w:top w:val="single" w:sz="4" w:space="0" w:color="auto"/>
              <w:left w:val="nil"/>
              <w:bottom w:val="single" w:sz="4" w:space="0" w:color="auto"/>
              <w:right w:val="nil"/>
            </w:tcBorders>
          </w:tcPr>
          <w:p w:rsidR="00F90DA0" w:rsidRPr="002B2630" w:rsidRDefault="00F90DA0" w:rsidP="00A14B33">
            <w:pPr>
              <w:jc w:val="center"/>
              <w:rPr>
                <w:rFonts w:ascii="Verdana" w:hAnsi="Verdana"/>
                <w:i/>
                <w:color w:val="000000"/>
                <w:sz w:val="14"/>
                <w:szCs w:val="14"/>
                <w:lang w:val="en-GB"/>
              </w:rPr>
            </w:pPr>
          </w:p>
        </w:tc>
        <w:tc>
          <w:tcPr>
            <w:tcW w:w="1080" w:type="dxa"/>
            <w:tcBorders>
              <w:top w:val="single" w:sz="4" w:space="0" w:color="auto"/>
              <w:left w:val="nil"/>
              <w:bottom w:val="single" w:sz="4" w:space="0" w:color="auto"/>
              <w:right w:val="nil"/>
            </w:tcBorders>
          </w:tcPr>
          <w:p w:rsidR="00F90DA0" w:rsidRPr="002B2630" w:rsidRDefault="00F90DA0" w:rsidP="00A14B33">
            <w:pPr>
              <w:jc w:val="center"/>
              <w:rPr>
                <w:rFonts w:ascii="Verdana" w:hAnsi="Verdana"/>
                <w:i/>
                <w:sz w:val="14"/>
                <w:szCs w:val="14"/>
                <w:lang w:val="en-GB"/>
              </w:rPr>
            </w:pPr>
          </w:p>
        </w:tc>
        <w:tc>
          <w:tcPr>
            <w:tcW w:w="1080" w:type="dxa"/>
            <w:tcBorders>
              <w:top w:val="single" w:sz="4" w:space="0" w:color="auto"/>
              <w:left w:val="nil"/>
              <w:bottom w:val="single" w:sz="4" w:space="0" w:color="auto"/>
              <w:right w:val="nil"/>
            </w:tcBorders>
          </w:tcPr>
          <w:p w:rsidR="00F90DA0" w:rsidRPr="002B2630" w:rsidRDefault="00F90DA0" w:rsidP="00A14B33">
            <w:pPr>
              <w:jc w:val="center"/>
              <w:rPr>
                <w:rFonts w:ascii="Verdana" w:hAnsi="Verdana"/>
                <w:i/>
                <w:color w:val="000000"/>
                <w:sz w:val="14"/>
                <w:szCs w:val="14"/>
                <w:lang w:val="en-GB"/>
              </w:rPr>
            </w:pPr>
          </w:p>
        </w:tc>
        <w:tc>
          <w:tcPr>
            <w:tcW w:w="1260" w:type="dxa"/>
            <w:tcBorders>
              <w:top w:val="single" w:sz="4" w:space="0" w:color="auto"/>
              <w:left w:val="nil"/>
              <w:bottom w:val="single" w:sz="4" w:space="0" w:color="auto"/>
              <w:right w:val="nil"/>
            </w:tcBorders>
          </w:tcPr>
          <w:p w:rsidR="00F90DA0" w:rsidRPr="002B2630" w:rsidRDefault="00F90DA0" w:rsidP="00A14B33">
            <w:pPr>
              <w:jc w:val="center"/>
              <w:rPr>
                <w:rFonts w:ascii="Verdana" w:hAnsi="Verdana"/>
                <w:i/>
                <w:color w:val="000000"/>
                <w:sz w:val="14"/>
                <w:szCs w:val="14"/>
                <w:lang w:val="en-GB"/>
              </w:rPr>
            </w:pP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DEBT_MAT (%)</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42,973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35.75</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28.16</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34.43</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0</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65.09</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ASSET_MAT (%)</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42,973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30.55</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27.19</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23.31</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10.41</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46.10</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GROWTH</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42,973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1.81</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1.13</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2.34</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0.63</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2.13</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SIZE</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42,973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2.87</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3.16</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1.39</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2.31</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3.78</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VOL_EBIT</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42,973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1.59</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0.64</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3.15</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0.26</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1.42</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FIRM_QUALITY</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42,973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2.23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0.33</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12.04</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-0.01</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1.06</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LEV (%)</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42,973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29.60</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23.34</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25.01</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7.85</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46.67</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RULE_OF_LAW</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42,973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0.94</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1.01</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0.78</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0.22</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1.68</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C_RIGHTS</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42,973</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2.16</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2.00</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1.05</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1.00</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3.00</w:t>
            </w:r>
          </w:p>
        </w:tc>
      </w:tr>
      <w:tr w:rsidR="00F90DA0" w:rsidRPr="002B2630" w:rsidTr="00A14B33">
        <w:trPr>
          <w:jc w:val="center"/>
        </w:trPr>
        <w:tc>
          <w:tcPr>
            <w:tcW w:w="2053" w:type="dxa"/>
            <w:tcBorders>
              <w:top w:val="nil"/>
              <w:left w:val="nil"/>
              <w:bottom w:val="nil"/>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BANK_CONC (%)</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41,030</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54.47</w:t>
            </w:r>
          </w:p>
        </w:tc>
        <w:tc>
          <w:tcPr>
            <w:tcW w:w="144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53.16</w:t>
            </w:r>
          </w:p>
        </w:tc>
        <w:tc>
          <w:tcPr>
            <w:tcW w:w="1080" w:type="dxa"/>
            <w:tcBorders>
              <w:top w:val="nil"/>
              <w:left w:val="nil"/>
              <w:bottom w:val="nil"/>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19.81</w:t>
            </w:r>
          </w:p>
        </w:tc>
        <w:tc>
          <w:tcPr>
            <w:tcW w:w="108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38.27</w:t>
            </w:r>
          </w:p>
        </w:tc>
        <w:tc>
          <w:tcPr>
            <w:tcW w:w="1260" w:type="dxa"/>
            <w:tcBorders>
              <w:top w:val="nil"/>
              <w:left w:val="nil"/>
              <w:bottom w:val="nil"/>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66.60</w:t>
            </w:r>
          </w:p>
        </w:tc>
      </w:tr>
      <w:tr w:rsidR="00F90DA0" w:rsidRPr="002B2630" w:rsidTr="00A14B33">
        <w:trPr>
          <w:jc w:val="center"/>
        </w:trPr>
        <w:tc>
          <w:tcPr>
            <w:tcW w:w="2053" w:type="dxa"/>
            <w:tcBorders>
              <w:top w:val="nil"/>
              <w:left w:val="nil"/>
              <w:bottom w:val="double" w:sz="4" w:space="0" w:color="auto"/>
              <w:right w:val="nil"/>
            </w:tcBorders>
            <w:vAlign w:val="center"/>
          </w:tcPr>
          <w:p w:rsidR="00F90DA0" w:rsidRPr="002B2630" w:rsidRDefault="00F90DA0" w:rsidP="00A14B33">
            <w:pPr>
              <w:tabs>
                <w:tab w:val="num" w:pos="540"/>
              </w:tabs>
              <w:jc w:val="both"/>
              <w:rPr>
                <w:rFonts w:ascii="Verdana" w:hAnsi="Verdana"/>
                <w:sz w:val="12"/>
                <w:szCs w:val="12"/>
                <w:lang w:val="en-GB"/>
              </w:rPr>
            </w:pPr>
            <w:r w:rsidRPr="002B2630">
              <w:rPr>
                <w:rFonts w:ascii="Verdana" w:hAnsi="Verdana"/>
                <w:sz w:val="12"/>
                <w:szCs w:val="12"/>
                <w:lang w:val="en-GB"/>
              </w:rPr>
              <w:t>BANK CREDIT (%)</w:t>
            </w:r>
          </w:p>
        </w:tc>
        <w:tc>
          <w:tcPr>
            <w:tcW w:w="1260" w:type="dxa"/>
            <w:tcBorders>
              <w:top w:val="nil"/>
              <w:left w:val="nil"/>
              <w:bottom w:val="double" w:sz="4" w:space="0" w:color="auto"/>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37,926</w:t>
            </w:r>
          </w:p>
        </w:tc>
        <w:tc>
          <w:tcPr>
            <w:tcW w:w="1440" w:type="dxa"/>
            <w:tcBorders>
              <w:top w:val="nil"/>
              <w:left w:val="nil"/>
              <w:bottom w:val="double" w:sz="4" w:space="0" w:color="auto"/>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87.85</w:t>
            </w:r>
          </w:p>
        </w:tc>
        <w:tc>
          <w:tcPr>
            <w:tcW w:w="1440" w:type="dxa"/>
            <w:tcBorders>
              <w:top w:val="nil"/>
              <w:left w:val="nil"/>
              <w:bottom w:val="double" w:sz="4" w:space="0" w:color="auto"/>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94.14</w:t>
            </w:r>
          </w:p>
        </w:tc>
        <w:tc>
          <w:tcPr>
            <w:tcW w:w="1080" w:type="dxa"/>
            <w:tcBorders>
              <w:top w:val="nil"/>
              <w:left w:val="nil"/>
              <w:bottom w:val="double" w:sz="4" w:space="0" w:color="auto"/>
              <w:right w:val="nil"/>
            </w:tcBorders>
          </w:tcPr>
          <w:p w:rsidR="00F90DA0" w:rsidRPr="002B2630" w:rsidRDefault="00F90DA0" w:rsidP="00A14B33">
            <w:pPr>
              <w:jc w:val="center"/>
              <w:rPr>
                <w:rFonts w:ascii="Verdana" w:hAnsi="Verdana"/>
                <w:sz w:val="14"/>
                <w:szCs w:val="14"/>
                <w:lang w:val="en-GB"/>
              </w:rPr>
            </w:pPr>
            <w:r w:rsidRPr="002B2630">
              <w:rPr>
                <w:rFonts w:ascii="Verdana" w:hAnsi="Verdana"/>
                <w:sz w:val="14"/>
                <w:szCs w:val="14"/>
                <w:lang w:val="en-GB"/>
              </w:rPr>
              <w:t>40.56</w:t>
            </w:r>
          </w:p>
        </w:tc>
        <w:tc>
          <w:tcPr>
            <w:tcW w:w="1080" w:type="dxa"/>
            <w:tcBorders>
              <w:top w:val="nil"/>
              <w:left w:val="nil"/>
              <w:bottom w:val="double" w:sz="4" w:space="0" w:color="auto"/>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48.66</w:t>
            </w:r>
          </w:p>
        </w:tc>
        <w:tc>
          <w:tcPr>
            <w:tcW w:w="1260" w:type="dxa"/>
            <w:tcBorders>
              <w:top w:val="nil"/>
              <w:left w:val="nil"/>
              <w:bottom w:val="double" w:sz="4" w:space="0" w:color="auto"/>
              <w:right w:val="nil"/>
            </w:tcBorders>
          </w:tcPr>
          <w:p w:rsidR="00F90DA0" w:rsidRPr="002B2630" w:rsidRDefault="00F90DA0" w:rsidP="00A14B33">
            <w:pPr>
              <w:jc w:val="center"/>
              <w:rPr>
                <w:rFonts w:ascii="Verdana" w:hAnsi="Verdana"/>
                <w:color w:val="000000"/>
                <w:sz w:val="14"/>
                <w:szCs w:val="14"/>
                <w:lang w:val="en-GB"/>
              </w:rPr>
            </w:pPr>
            <w:r w:rsidRPr="002B2630">
              <w:rPr>
                <w:rFonts w:ascii="Verdana" w:hAnsi="Verdana"/>
                <w:color w:val="000000"/>
                <w:sz w:val="14"/>
                <w:szCs w:val="14"/>
                <w:lang w:val="en-GB"/>
              </w:rPr>
              <w:t>107.13</w:t>
            </w:r>
          </w:p>
        </w:tc>
      </w:tr>
    </w:tbl>
    <w:p w:rsidR="00F90DA0" w:rsidRPr="002B2630" w:rsidRDefault="00F90DA0" w:rsidP="00F90DA0">
      <w:pPr>
        <w:spacing w:after="200" w:line="276" w:lineRule="auto"/>
        <w:rPr>
          <w:rFonts w:asciiTheme="minorHAnsi" w:hAnsiTheme="minorHAnsi" w:cstheme="minorHAnsi"/>
          <w:b/>
          <w:sz w:val="22"/>
          <w:szCs w:val="22"/>
          <w:lang w:val="en-GB"/>
        </w:rPr>
      </w:pPr>
      <w:r w:rsidRPr="002B2630">
        <w:rPr>
          <w:rFonts w:asciiTheme="minorHAnsi" w:hAnsiTheme="minorHAnsi" w:cstheme="minorHAnsi"/>
          <w:b/>
          <w:sz w:val="22"/>
          <w:szCs w:val="22"/>
          <w:lang w:val="en-GB"/>
        </w:rPr>
        <w:br w:type="page"/>
      </w:r>
    </w:p>
    <w:p w:rsidR="00F90DA0" w:rsidRPr="002B2630" w:rsidRDefault="00F90DA0" w:rsidP="00F90DA0">
      <w:pPr>
        <w:spacing w:after="200" w:line="276" w:lineRule="auto"/>
        <w:jc w:val="center"/>
        <w:rPr>
          <w:b/>
          <w:lang w:val="en-GB"/>
        </w:rPr>
        <w:sectPr w:rsidR="00F90DA0" w:rsidRPr="002B2630" w:rsidSect="00A14B33">
          <w:pgSz w:w="11906" w:h="16838"/>
          <w:pgMar w:top="1417" w:right="1701" w:bottom="1417" w:left="1701" w:header="708" w:footer="708" w:gutter="0"/>
          <w:cols w:space="708"/>
          <w:docGrid w:linePitch="360"/>
        </w:sectPr>
      </w:pPr>
    </w:p>
    <w:p w:rsidR="00F90DA0" w:rsidRPr="002B2630" w:rsidRDefault="00F90DA0" w:rsidP="00F90DA0">
      <w:pPr>
        <w:spacing w:after="200" w:line="276" w:lineRule="auto"/>
        <w:jc w:val="center"/>
        <w:rPr>
          <w:rFonts w:ascii="Verdana" w:hAnsi="Verdana"/>
          <w:b/>
          <w:sz w:val="22"/>
          <w:szCs w:val="22"/>
          <w:lang w:val="en-GB"/>
        </w:rPr>
      </w:pPr>
      <w:r w:rsidRPr="002B2630">
        <w:rPr>
          <w:rFonts w:ascii="Verdana" w:hAnsi="Verdana"/>
          <w:b/>
          <w:sz w:val="22"/>
          <w:szCs w:val="22"/>
          <w:lang w:val="en-GB"/>
        </w:rPr>
        <w:lastRenderedPageBreak/>
        <w:t xml:space="preserve">Table </w:t>
      </w:r>
      <w:r w:rsidR="00D55369">
        <w:rPr>
          <w:rFonts w:ascii="Verdana" w:hAnsi="Verdana"/>
          <w:b/>
          <w:sz w:val="22"/>
          <w:szCs w:val="22"/>
          <w:lang w:val="en-GB"/>
        </w:rPr>
        <w:t>2</w:t>
      </w:r>
      <w:r w:rsidRPr="002B2630">
        <w:rPr>
          <w:rFonts w:ascii="Verdana" w:hAnsi="Verdana"/>
          <w:b/>
          <w:sz w:val="22"/>
          <w:szCs w:val="22"/>
          <w:lang w:val="en-GB"/>
        </w:rPr>
        <w:t>. Correlations</w:t>
      </w:r>
    </w:p>
    <w:p w:rsidR="008552EE" w:rsidRPr="002B2630" w:rsidRDefault="008552EE" w:rsidP="008552EE">
      <w:pPr>
        <w:tabs>
          <w:tab w:val="num" w:pos="540"/>
        </w:tabs>
        <w:ind w:left="-357" w:right="-493"/>
        <w:jc w:val="both"/>
        <w:rPr>
          <w:rFonts w:ascii="Verdana" w:hAnsi="Verdana"/>
          <w:sz w:val="18"/>
          <w:szCs w:val="18"/>
          <w:lang w:val="en-GB"/>
        </w:rPr>
      </w:pPr>
      <w:r w:rsidRPr="002B2630">
        <w:rPr>
          <w:rFonts w:ascii="Verdana" w:hAnsi="Verdana"/>
          <w:sz w:val="18"/>
          <w:szCs w:val="18"/>
          <w:lang w:val="en-GB"/>
        </w:rPr>
        <w:t xml:space="preserve">The table presents the correlation matrix. </w:t>
      </w:r>
      <w:r w:rsidRPr="002B2630">
        <w:rPr>
          <w:rFonts w:ascii="Verdana" w:hAnsi="Verdana" w:cstheme="minorHAnsi"/>
          <w:sz w:val="18"/>
          <w:szCs w:val="18"/>
          <w:lang w:val="en-GB"/>
        </w:rPr>
        <w:t xml:space="preserve">DEBT_MAT is the percentage of the firm’s total debt that has a maturity of more than one year. ASSET_MAT is the ratio between net fixed assets and total assets. GROWTH is the market-to-book ratio. SIZE is the natural logarithm of sales. VOL_EBIT is the absolute value of change in </w:t>
      </w:r>
      <w:r w:rsidR="00D474E2">
        <w:rPr>
          <w:rFonts w:ascii="Verdana" w:hAnsi="Verdana" w:cstheme="minorHAnsi"/>
          <w:sz w:val="18"/>
          <w:szCs w:val="18"/>
          <w:lang w:val="en-GB"/>
        </w:rPr>
        <w:t>EBIT</w:t>
      </w:r>
      <w:r w:rsidRPr="002B2630">
        <w:rPr>
          <w:rFonts w:ascii="Verdana" w:hAnsi="Verdana" w:cstheme="minorHAnsi"/>
          <w:sz w:val="18"/>
          <w:szCs w:val="18"/>
          <w:lang w:val="en-GB"/>
        </w:rPr>
        <w:t>. FIRM_QUALITY is the ratio of net income plus depreciation to net debt. LEV is the ratio between total debt and the firm’s market value. RULE_OF_LAW is one of the six dimensions of the WGI</w:t>
      </w:r>
      <w:r w:rsidRPr="002B2630">
        <w:rPr>
          <w:rFonts w:ascii="Verdana" w:hAnsi="Verdana"/>
          <w:sz w:val="18"/>
          <w:szCs w:val="18"/>
          <w:lang w:val="en-GB"/>
        </w:rPr>
        <w:t xml:space="preserve"> and is a measure of the efficiency of the legal system</w:t>
      </w:r>
      <w:r>
        <w:rPr>
          <w:rFonts w:ascii="Verdana" w:hAnsi="Verdana" w:cstheme="minorHAnsi"/>
          <w:sz w:val="18"/>
          <w:szCs w:val="18"/>
          <w:lang w:val="en-GB"/>
        </w:rPr>
        <w:t xml:space="preserve"> and </w:t>
      </w:r>
      <w:r w:rsidRPr="002B2630">
        <w:rPr>
          <w:rFonts w:ascii="Verdana" w:hAnsi="Verdana" w:cstheme="minorHAnsi"/>
          <w:sz w:val="18"/>
          <w:szCs w:val="18"/>
          <w:lang w:val="en-GB"/>
        </w:rPr>
        <w:t>the protection of property rights. C_RIGHTS measures creditor rights.</w:t>
      </w:r>
      <w:r w:rsidRPr="002B2630">
        <w:rPr>
          <w:sz w:val="18"/>
          <w:szCs w:val="18"/>
          <w:lang w:val="en-GB"/>
        </w:rPr>
        <w:t xml:space="preserve"> </w:t>
      </w:r>
      <w:r w:rsidRPr="002B2630">
        <w:rPr>
          <w:rFonts w:ascii="Verdana" w:hAnsi="Verdana" w:cstheme="minorHAnsi"/>
          <w:sz w:val="18"/>
          <w:szCs w:val="18"/>
          <w:lang w:val="en-GB"/>
        </w:rPr>
        <w:t>BANK_CONC is the fraction of assets held by the three largest commercial banks in each country. BANK_CREDIT is the ratio of private credit by deposit money banks to GDP.</w:t>
      </w:r>
    </w:p>
    <w:p w:rsidR="00F90DA0" w:rsidRPr="002B2630" w:rsidRDefault="00F90DA0" w:rsidP="00F90DA0">
      <w:pPr>
        <w:tabs>
          <w:tab w:val="num" w:pos="540"/>
        </w:tabs>
        <w:ind w:left="-357" w:right="-493"/>
        <w:jc w:val="both"/>
        <w:rPr>
          <w:sz w:val="18"/>
          <w:lang w:val="en-GB"/>
        </w:rPr>
      </w:pPr>
    </w:p>
    <w:tbl>
      <w:tblPr>
        <w:tblW w:w="0" w:type="auto"/>
        <w:jc w:val="center"/>
        <w:tblBorders>
          <w:top w:val="double" w:sz="4" w:space="0" w:color="auto"/>
          <w:bottom w:val="double" w:sz="4" w:space="0" w:color="auto"/>
        </w:tblBorders>
        <w:tblCellMar>
          <w:left w:w="70" w:type="dxa"/>
          <w:right w:w="70" w:type="dxa"/>
        </w:tblCellMar>
        <w:tblLook w:val="01E0" w:firstRow="1" w:lastRow="1" w:firstColumn="1" w:lastColumn="1" w:noHBand="0" w:noVBand="0"/>
      </w:tblPr>
      <w:tblGrid>
        <w:gridCol w:w="1021"/>
        <w:gridCol w:w="781"/>
        <w:gridCol w:w="854"/>
        <w:gridCol w:w="687"/>
        <w:gridCol w:w="481"/>
        <w:gridCol w:w="1014"/>
        <w:gridCol w:w="714"/>
        <w:gridCol w:w="481"/>
        <w:gridCol w:w="1021"/>
        <w:gridCol w:w="747"/>
        <w:gridCol w:w="887"/>
        <w:gridCol w:w="981"/>
      </w:tblGrid>
      <w:tr w:rsidR="005B0760" w:rsidRPr="002B2630" w:rsidTr="00A14B33">
        <w:trPr>
          <w:cantSplit/>
          <w:trHeight w:val="284"/>
          <w:jc w:val="center"/>
        </w:trPr>
        <w:tc>
          <w:tcPr>
            <w:tcW w:w="0" w:type="auto"/>
            <w:tcBorders>
              <w:top w:val="double" w:sz="4" w:space="0" w:color="auto"/>
              <w:bottom w:val="single" w:sz="4" w:space="0" w:color="auto"/>
            </w:tcBorders>
            <w:vAlign w:val="center"/>
          </w:tcPr>
          <w:p w:rsidR="005B0760" w:rsidRPr="002B2630" w:rsidRDefault="005B0760" w:rsidP="00A14B33">
            <w:pPr>
              <w:rPr>
                <w:rFonts w:ascii="Arial" w:hAnsi="Arial"/>
                <w:sz w:val="12"/>
                <w:szCs w:val="12"/>
                <w:lang w:val="en-GB"/>
              </w:rPr>
            </w:pPr>
          </w:p>
        </w:tc>
        <w:tc>
          <w:tcPr>
            <w:tcW w:w="0" w:type="auto"/>
            <w:tcBorders>
              <w:top w:val="double" w:sz="4" w:space="0" w:color="auto"/>
              <w:bottom w:val="single" w:sz="4" w:space="0" w:color="auto"/>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DEBT_MAT</w:t>
            </w:r>
          </w:p>
        </w:tc>
        <w:tc>
          <w:tcPr>
            <w:tcW w:w="0" w:type="auto"/>
            <w:tcBorders>
              <w:top w:val="double" w:sz="4" w:space="0" w:color="auto"/>
              <w:bottom w:val="single" w:sz="4" w:space="0" w:color="auto"/>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ASSET_MAT</w:t>
            </w:r>
          </w:p>
        </w:tc>
        <w:tc>
          <w:tcPr>
            <w:tcW w:w="0" w:type="auto"/>
            <w:tcBorders>
              <w:top w:val="double" w:sz="4" w:space="0" w:color="auto"/>
              <w:bottom w:val="single" w:sz="4" w:space="0" w:color="auto"/>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GROWTH</w:t>
            </w:r>
          </w:p>
        </w:tc>
        <w:tc>
          <w:tcPr>
            <w:tcW w:w="0" w:type="auto"/>
            <w:tcBorders>
              <w:top w:val="double" w:sz="4" w:space="0" w:color="auto"/>
              <w:bottom w:val="single" w:sz="4" w:space="0" w:color="auto"/>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SIZE</w:t>
            </w:r>
          </w:p>
        </w:tc>
        <w:tc>
          <w:tcPr>
            <w:tcW w:w="0" w:type="auto"/>
            <w:tcBorders>
              <w:top w:val="double" w:sz="4" w:space="0" w:color="auto"/>
              <w:bottom w:val="single" w:sz="4" w:space="0" w:color="auto"/>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FIRM_QUALITY</w:t>
            </w:r>
          </w:p>
        </w:tc>
        <w:tc>
          <w:tcPr>
            <w:tcW w:w="0" w:type="auto"/>
            <w:tcBorders>
              <w:top w:val="double" w:sz="4" w:space="0" w:color="auto"/>
              <w:bottom w:val="single" w:sz="4" w:space="0" w:color="auto"/>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VOL_EBIT</w:t>
            </w:r>
          </w:p>
        </w:tc>
        <w:tc>
          <w:tcPr>
            <w:tcW w:w="0" w:type="auto"/>
            <w:tcBorders>
              <w:top w:val="double" w:sz="4" w:space="0" w:color="auto"/>
              <w:bottom w:val="single" w:sz="4" w:space="0" w:color="auto"/>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LEV</w:t>
            </w:r>
          </w:p>
        </w:tc>
        <w:tc>
          <w:tcPr>
            <w:tcW w:w="0" w:type="auto"/>
            <w:tcBorders>
              <w:top w:val="double" w:sz="4" w:space="0" w:color="auto"/>
              <w:bottom w:val="single" w:sz="4" w:space="0" w:color="auto"/>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RULE_OF_LAW</w:t>
            </w:r>
          </w:p>
        </w:tc>
        <w:tc>
          <w:tcPr>
            <w:tcW w:w="0" w:type="auto"/>
            <w:tcBorders>
              <w:top w:val="double" w:sz="4" w:space="0" w:color="auto"/>
              <w:bottom w:val="single" w:sz="4" w:space="0" w:color="auto"/>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C_RIGHTS</w:t>
            </w:r>
          </w:p>
        </w:tc>
        <w:tc>
          <w:tcPr>
            <w:tcW w:w="0" w:type="auto"/>
            <w:tcBorders>
              <w:top w:val="double" w:sz="4" w:space="0" w:color="auto"/>
              <w:bottom w:val="single" w:sz="4" w:space="0" w:color="auto"/>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BANK_CONC</w:t>
            </w:r>
          </w:p>
        </w:tc>
        <w:tc>
          <w:tcPr>
            <w:tcW w:w="0" w:type="auto"/>
            <w:tcBorders>
              <w:top w:val="double" w:sz="4" w:space="0" w:color="auto"/>
              <w:bottom w:val="single" w:sz="4" w:space="0" w:color="auto"/>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BANK_CREDIT</w:t>
            </w:r>
          </w:p>
        </w:tc>
      </w:tr>
      <w:tr w:rsidR="005B0760" w:rsidRPr="002B2630" w:rsidTr="00A14B33">
        <w:trPr>
          <w:cantSplit/>
          <w:trHeight w:val="284"/>
          <w:jc w:val="center"/>
        </w:trPr>
        <w:tc>
          <w:tcPr>
            <w:tcW w:w="0" w:type="auto"/>
            <w:tcBorders>
              <w:top w:val="nil"/>
              <w:bottom w:val="nil"/>
            </w:tcBorders>
            <w:vAlign w:val="center"/>
          </w:tcPr>
          <w:p w:rsidR="005B0760" w:rsidRPr="002B2630" w:rsidRDefault="005B0760" w:rsidP="00A14B33">
            <w:pPr>
              <w:rPr>
                <w:rFonts w:ascii="Arial" w:hAnsi="Arial"/>
                <w:sz w:val="12"/>
                <w:szCs w:val="12"/>
                <w:lang w:val="en-GB"/>
              </w:rPr>
            </w:pPr>
            <w:r w:rsidRPr="002B2630">
              <w:rPr>
                <w:rFonts w:ascii="Arial" w:hAnsi="Arial"/>
                <w:sz w:val="12"/>
                <w:szCs w:val="12"/>
                <w:lang w:val="en-GB"/>
              </w:rPr>
              <w:t>DEBT_MAT</w:t>
            </w:r>
          </w:p>
        </w:tc>
        <w:tc>
          <w:tcPr>
            <w:tcW w:w="0" w:type="auto"/>
            <w:tcBorders>
              <w:top w:val="nil"/>
              <w:bottom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1.000</w:t>
            </w:r>
          </w:p>
        </w:tc>
        <w:tc>
          <w:tcPr>
            <w:tcW w:w="0" w:type="auto"/>
            <w:tcBorders>
              <w:top w:val="nil"/>
              <w:bottom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bottom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bottom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bottom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bottom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bottom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bottom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bottom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bottom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bottom w:val="nil"/>
            </w:tcBorders>
            <w:vAlign w:val="center"/>
          </w:tcPr>
          <w:p w:rsidR="005B0760" w:rsidRPr="002B2630" w:rsidRDefault="005B0760" w:rsidP="00A14B33">
            <w:pPr>
              <w:jc w:val="center"/>
              <w:rPr>
                <w:rFonts w:ascii="Arial" w:hAnsi="Arial"/>
                <w:sz w:val="12"/>
                <w:szCs w:val="12"/>
                <w:lang w:val="en-GB"/>
              </w:rPr>
            </w:pPr>
          </w:p>
        </w:tc>
      </w:tr>
      <w:tr w:rsidR="005B0760" w:rsidRPr="002B2630" w:rsidTr="00A14B33">
        <w:trPr>
          <w:cantSplit/>
          <w:trHeight w:val="284"/>
          <w:jc w:val="center"/>
        </w:trPr>
        <w:tc>
          <w:tcPr>
            <w:tcW w:w="0" w:type="auto"/>
            <w:tcBorders>
              <w:top w:val="nil"/>
            </w:tcBorders>
            <w:vAlign w:val="center"/>
          </w:tcPr>
          <w:p w:rsidR="005B0760" w:rsidRPr="002B2630" w:rsidRDefault="005B0760" w:rsidP="00A14B33">
            <w:pPr>
              <w:rPr>
                <w:rFonts w:ascii="Arial" w:hAnsi="Arial"/>
                <w:sz w:val="12"/>
                <w:szCs w:val="12"/>
                <w:lang w:val="en-GB"/>
              </w:rPr>
            </w:pPr>
            <w:r w:rsidRPr="002B2630">
              <w:rPr>
                <w:rFonts w:ascii="Arial" w:hAnsi="Arial"/>
                <w:sz w:val="12"/>
                <w:szCs w:val="12"/>
                <w:lang w:val="en-GB"/>
              </w:rPr>
              <w:t>ASSET_MAT</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0.178</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1.000</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r>
      <w:tr w:rsidR="005B0760" w:rsidRPr="002B2630" w:rsidTr="00A14B33">
        <w:trPr>
          <w:cantSplit/>
          <w:trHeight w:val="284"/>
          <w:jc w:val="center"/>
        </w:trPr>
        <w:tc>
          <w:tcPr>
            <w:tcW w:w="0" w:type="auto"/>
            <w:tcBorders>
              <w:top w:val="nil"/>
            </w:tcBorders>
            <w:vAlign w:val="center"/>
          </w:tcPr>
          <w:p w:rsidR="005B0760" w:rsidRPr="002B2630" w:rsidRDefault="005B0760" w:rsidP="00A14B33">
            <w:pPr>
              <w:rPr>
                <w:rFonts w:ascii="Arial" w:hAnsi="Arial"/>
                <w:sz w:val="12"/>
                <w:szCs w:val="12"/>
                <w:lang w:val="en-GB"/>
              </w:rPr>
            </w:pPr>
            <w:r w:rsidRPr="002B2630">
              <w:rPr>
                <w:rFonts w:ascii="Arial" w:hAnsi="Arial"/>
                <w:sz w:val="12"/>
                <w:szCs w:val="12"/>
                <w:lang w:val="en-GB"/>
              </w:rPr>
              <w:t>GROWTH</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0.099</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-0.103</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1.000</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r>
      <w:tr w:rsidR="005B0760" w:rsidRPr="002B2630" w:rsidTr="00A14B33">
        <w:trPr>
          <w:cantSplit/>
          <w:trHeight w:val="284"/>
          <w:jc w:val="center"/>
        </w:trPr>
        <w:tc>
          <w:tcPr>
            <w:tcW w:w="0" w:type="auto"/>
            <w:tcBorders>
              <w:top w:val="nil"/>
            </w:tcBorders>
            <w:vAlign w:val="center"/>
          </w:tcPr>
          <w:p w:rsidR="005B0760" w:rsidRPr="002B2630" w:rsidRDefault="005B0760" w:rsidP="00A14B33">
            <w:pPr>
              <w:rPr>
                <w:rFonts w:ascii="Arial" w:hAnsi="Arial"/>
                <w:sz w:val="12"/>
                <w:szCs w:val="12"/>
                <w:lang w:val="en-GB"/>
              </w:rPr>
            </w:pPr>
            <w:r w:rsidRPr="002B2630">
              <w:rPr>
                <w:rFonts w:ascii="Arial" w:hAnsi="Arial"/>
                <w:sz w:val="12"/>
                <w:szCs w:val="12"/>
                <w:lang w:val="en-GB"/>
              </w:rPr>
              <w:t>SIZE</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0.222</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-0.011</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0.067</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1.000</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r>
      <w:tr w:rsidR="005B0760" w:rsidRPr="002B2630" w:rsidTr="00A14B33">
        <w:trPr>
          <w:cantSplit/>
          <w:trHeight w:val="284"/>
          <w:jc w:val="center"/>
        </w:trPr>
        <w:tc>
          <w:tcPr>
            <w:tcW w:w="0" w:type="auto"/>
            <w:tcBorders>
              <w:top w:val="nil"/>
            </w:tcBorders>
            <w:vAlign w:val="center"/>
          </w:tcPr>
          <w:p w:rsidR="005B0760" w:rsidRPr="002B2630" w:rsidRDefault="005B0760" w:rsidP="00A14B33">
            <w:pPr>
              <w:rPr>
                <w:rFonts w:ascii="Arial" w:hAnsi="Arial"/>
                <w:sz w:val="12"/>
                <w:szCs w:val="12"/>
                <w:lang w:val="en-GB"/>
              </w:rPr>
            </w:pPr>
            <w:r w:rsidRPr="002B2630">
              <w:rPr>
                <w:rFonts w:ascii="Arial" w:hAnsi="Arial"/>
                <w:sz w:val="12"/>
                <w:szCs w:val="12"/>
                <w:lang w:val="en-GB"/>
              </w:rPr>
              <w:t>FIRM_QUALITY</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-0.115</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-0.067</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0.069</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0.018</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1.000</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r>
      <w:tr w:rsidR="005B0760" w:rsidRPr="002B2630" w:rsidTr="00A14B33">
        <w:trPr>
          <w:cantSplit/>
          <w:trHeight w:val="284"/>
          <w:jc w:val="center"/>
        </w:trPr>
        <w:tc>
          <w:tcPr>
            <w:tcW w:w="0" w:type="auto"/>
            <w:tcBorders>
              <w:top w:val="nil"/>
            </w:tcBorders>
            <w:vAlign w:val="center"/>
          </w:tcPr>
          <w:p w:rsidR="005B0760" w:rsidRPr="002B2630" w:rsidRDefault="005B0760" w:rsidP="00A14B33">
            <w:pPr>
              <w:rPr>
                <w:rFonts w:ascii="Arial" w:hAnsi="Arial"/>
                <w:sz w:val="12"/>
                <w:szCs w:val="12"/>
                <w:lang w:val="en-GB"/>
              </w:rPr>
            </w:pPr>
            <w:r w:rsidRPr="002B2630">
              <w:rPr>
                <w:rFonts w:ascii="Arial" w:hAnsi="Arial"/>
                <w:sz w:val="12"/>
                <w:szCs w:val="12"/>
                <w:lang w:val="en-GB"/>
              </w:rPr>
              <w:t>VOL_EBIT</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-0.028</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-0.004</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-0.022</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-0.101</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-0.037</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1.000</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r>
      <w:tr w:rsidR="005B0760" w:rsidRPr="002B2630" w:rsidTr="00A14B33">
        <w:trPr>
          <w:cantSplit/>
          <w:trHeight w:val="284"/>
          <w:jc w:val="center"/>
        </w:trPr>
        <w:tc>
          <w:tcPr>
            <w:tcW w:w="0" w:type="auto"/>
            <w:tcBorders>
              <w:top w:val="nil"/>
            </w:tcBorders>
            <w:vAlign w:val="center"/>
          </w:tcPr>
          <w:p w:rsidR="005B0760" w:rsidRPr="002B2630" w:rsidRDefault="005B0760" w:rsidP="00A14B33">
            <w:pPr>
              <w:rPr>
                <w:rFonts w:ascii="Arial" w:hAnsi="Arial"/>
                <w:sz w:val="12"/>
                <w:szCs w:val="12"/>
                <w:lang w:val="en-GB"/>
              </w:rPr>
            </w:pPr>
            <w:r w:rsidRPr="002B2630">
              <w:rPr>
                <w:rFonts w:ascii="Arial" w:hAnsi="Arial"/>
                <w:sz w:val="12"/>
                <w:szCs w:val="12"/>
                <w:lang w:val="en-GB"/>
              </w:rPr>
              <w:t>LEV</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0.071</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0.219</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-0.363</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0.041</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-0.240</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0.067</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1.000</w:t>
            </w: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c>
          <w:tcPr>
            <w:tcW w:w="0" w:type="auto"/>
            <w:tcBorders>
              <w:top w:val="nil"/>
            </w:tcBorders>
            <w:vAlign w:val="center"/>
          </w:tcPr>
          <w:p w:rsidR="005B0760" w:rsidRPr="002B2630" w:rsidRDefault="005B0760" w:rsidP="00A14B33">
            <w:pPr>
              <w:jc w:val="center"/>
              <w:rPr>
                <w:rFonts w:ascii="Arial" w:hAnsi="Arial"/>
                <w:sz w:val="12"/>
                <w:szCs w:val="12"/>
                <w:lang w:val="en-GB"/>
              </w:rPr>
            </w:pPr>
          </w:p>
        </w:tc>
      </w:tr>
      <w:tr w:rsidR="005B0760" w:rsidRPr="002B2630" w:rsidTr="00A14B33">
        <w:trPr>
          <w:cantSplit/>
          <w:trHeight w:val="284"/>
          <w:jc w:val="center"/>
        </w:trPr>
        <w:tc>
          <w:tcPr>
            <w:tcW w:w="0" w:type="auto"/>
            <w:vAlign w:val="center"/>
          </w:tcPr>
          <w:p w:rsidR="005B0760" w:rsidRPr="002B2630" w:rsidRDefault="005B0760" w:rsidP="00A14B33">
            <w:pPr>
              <w:rPr>
                <w:rFonts w:ascii="Arial" w:hAnsi="Arial"/>
                <w:sz w:val="12"/>
                <w:szCs w:val="12"/>
                <w:lang w:val="en-GB"/>
              </w:rPr>
            </w:pPr>
            <w:r w:rsidRPr="002B2630">
              <w:rPr>
                <w:rFonts w:ascii="Arial" w:hAnsi="Arial"/>
                <w:sz w:val="12"/>
                <w:szCs w:val="12"/>
                <w:lang w:val="en-GB"/>
              </w:rPr>
              <w:t>RULE_OF_LAW</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0.137</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-0.148</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0.099</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0.164</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-0.018</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0.024</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-0.170</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1.000</w:t>
            </w:r>
          </w:p>
        </w:tc>
        <w:tc>
          <w:tcPr>
            <w:tcW w:w="0" w:type="auto"/>
            <w:vAlign w:val="center"/>
          </w:tcPr>
          <w:p w:rsidR="005B0760" w:rsidRPr="002B2630" w:rsidRDefault="005B0760" w:rsidP="00A14B33">
            <w:pPr>
              <w:jc w:val="center"/>
              <w:rPr>
                <w:rFonts w:ascii="Arial" w:hAnsi="Arial"/>
                <w:sz w:val="12"/>
                <w:szCs w:val="12"/>
                <w:lang w:val="en-GB"/>
              </w:rPr>
            </w:pPr>
          </w:p>
        </w:tc>
        <w:tc>
          <w:tcPr>
            <w:tcW w:w="0" w:type="auto"/>
            <w:vAlign w:val="center"/>
          </w:tcPr>
          <w:p w:rsidR="005B0760" w:rsidRPr="002B2630" w:rsidRDefault="005B0760" w:rsidP="00A14B33">
            <w:pPr>
              <w:jc w:val="center"/>
              <w:rPr>
                <w:rFonts w:ascii="Arial" w:hAnsi="Arial"/>
                <w:sz w:val="12"/>
                <w:szCs w:val="12"/>
                <w:lang w:val="en-GB"/>
              </w:rPr>
            </w:pPr>
          </w:p>
        </w:tc>
        <w:tc>
          <w:tcPr>
            <w:tcW w:w="0" w:type="auto"/>
            <w:vAlign w:val="center"/>
          </w:tcPr>
          <w:p w:rsidR="005B0760" w:rsidRPr="002B2630" w:rsidRDefault="005B0760" w:rsidP="00A14B33">
            <w:pPr>
              <w:jc w:val="center"/>
              <w:rPr>
                <w:rFonts w:ascii="Arial" w:hAnsi="Arial"/>
                <w:sz w:val="12"/>
                <w:szCs w:val="12"/>
                <w:lang w:val="en-GB"/>
              </w:rPr>
            </w:pPr>
          </w:p>
        </w:tc>
      </w:tr>
      <w:tr w:rsidR="005B0760" w:rsidRPr="002B2630" w:rsidTr="00A14B33">
        <w:trPr>
          <w:cantSplit/>
          <w:trHeight w:val="284"/>
          <w:jc w:val="center"/>
        </w:trPr>
        <w:tc>
          <w:tcPr>
            <w:tcW w:w="0" w:type="auto"/>
            <w:vAlign w:val="center"/>
          </w:tcPr>
          <w:p w:rsidR="005B0760" w:rsidRPr="002B2630" w:rsidRDefault="005B0760" w:rsidP="00A14B33">
            <w:pPr>
              <w:rPr>
                <w:rFonts w:ascii="Arial" w:hAnsi="Arial"/>
                <w:sz w:val="12"/>
                <w:szCs w:val="12"/>
                <w:lang w:val="en-GB"/>
              </w:rPr>
            </w:pPr>
            <w:r w:rsidRPr="002B2630">
              <w:rPr>
                <w:rFonts w:ascii="Arial" w:hAnsi="Arial"/>
                <w:sz w:val="12"/>
                <w:szCs w:val="12"/>
                <w:lang w:val="en-GB"/>
              </w:rPr>
              <w:t>C_RIG</w:t>
            </w:r>
            <w:r>
              <w:rPr>
                <w:rFonts w:ascii="Arial" w:hAnsi="Arial"/>
                <w:sz w:val="12"/>
                <w:szCs w:val="12"/>
                <w:lang w:val="en-GB"/>
              </w:rPr>
              <w:t>H</w:t>
            </w:r>
            <w:r w:rsidRPr="002B2630">
              <w:rPr>
                <w:rFonts w:ascii="Arial" w:hAnsi="Arial"/>
                <w:sz w:val="12"/>
                <w:szCs w:val="12"/>
                <w:lang w:val="en-GB"/>
              </w:rPr>
              <w:t>TS</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-0.092</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-0.016</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-0.021</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-0.132</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0.006</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0.011</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-0.020</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0.068</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1.000</w:t>
            </w:r>
          </w:p>
        </w:tc>
        <w:tc>
          <w:tcPr>
            <w:tcW w:w="0" w:type="auto"/>
            <w:vAlign w:val="center"/>
          </w:tcPr>
          <w:p w:rsidR="005B0760" w:rsidRPr="002B2630" w:rsidRDefault="005B0760" w:rsidP="00A14B33">
            <w:pPr>
              <w:jc w:val="center"/>
              <w:rPr>
                <w:rFonts w:ascii="Arial" w:hAnsi="Arial"/>
                <w:sz w:val="12"/>
                <w:szCs w:val="12"/>
                <w:lang w:val="en-GB"/>
              </w:rPr>
            </w:pPr>
          </w:p>
        </w:tc>
        <w:tc>
          <w:tcPr>
            <w:tcW w:w="0" w:type="auto"/>
            <w:vAlign w:val="center"/>
          </w:tcPr>
          <w:p w:rsidR="005B0760" w:rsidRPr="002B2630" w:rsidRDefault="005B0760" w:rsidP="00A14B33">
            <w:pPr>
              <w:jc w:val="center"/>
              <w:rPr>
                <w:rFonts w:ascii="Arial" w:hAnsi="Arial"/>
                <w:sz w:val="12"/>
                <w:szCs w:val="12"/>
                <w:lang w:val="en-GB"/>
              </w:rPr>
            </w:pPr>
          </w:p>
        </w:tc>
      </w:tr>
      <w:tr w:rsidR="005B0760" w:rsidRPr="002B2630" w:rsidTr="00A14B33">
        <w:trPr>
          <w:cantSplit/>
          <w:trHeight w:val="284"/>
          <w:jc w:val="center"/>
        </w:trPr>
        <w:tc>
          <w:tcPr>
            <w:tcW w:w="0" w:type="auto"/>
            <w:vAlign w:val="center"/>
          </w:tcPr>
          <w:p w:rsidR="005B0760" w:rsidRPr="002B2630" w:rsidRDefault="005B0760" w:rsidP="00A14B33">
            <w:pPr>
              <w:rPr>
                <w:rFonts w:ascii="Arial" w:hAnsi="Arial"/>
                <w:sz w:val="12"/>
                <w:szCs w:val="12"/>
                <w:lang w:val="en-GB"/>
              </w:rPr>
            </w:pPr>
            <w:r w:rsidRPr="002B2630">
              <w:rPr>
                <w:rFonts w:ascii="Arial" w:hAnsi="Arial"/>
                <w:sz w:val="12"/>
                <w:szCs w:val="12"/>
                <w:lang w:val="en-GB"/>
              </w:rPr>
              <w:t>BANK_CONC</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-0.033</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-0.056</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0.016</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-0.075</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-0.006</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0.021</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-0.062</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0.282</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0.464</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1.000</w:t>
            </w:r>
          </w:p>
        </w:tc>
        <w:tc>
          <w:tcPr>
            <w:tcW w:w="0" w:type="auto"/>
            <w:vAlign w:val="center"/>
          </w:tcPr>
          <w:p w:rsidR="005B0760" w:rsidRPr="002B2630" w:rsidRDefault="005B0760" w:rsidP="00A14B33">
            <w:pPr>
              <w:jc w:val="center"/>
              <w:rPr>
                <w:rFonts w:ascii="Arial" w:hAnsi="Arial"/>
                <w:sz w:val="12"/>
                <w:szCs w:val="12"/>
                <w:lang w:val="en-GB"/>
              </w:rPr>
            </w:pPr>
          </w:p>
        </w:tc>
      </w:tr>
      <w:tr w:rsidR="005B0760" w:rsidRPr="002B2630" w:rsidTr="00A14B33">
        <w:trPr>
          <w:cantSplit/>
          <w:trHeight w:val="284"/>
          <w:jc w:val="center"/>
        </w:trPr>
        <w:tc>
          <w:tcPr>
            <w:tcW w:w="0" w:type="auto"/>
            <w:vAlign w:val="center"/>
          </w:tcPr>
          <w:p w:rsidR="005B0760" w:rsidRPr="002B2630" w:rsidRDefault="005B0760" w:rsidP="00A14B33">
            <w:pPr>
              <w:rPr>
                <w:rFonts w:ascii="Arial" w:hAnsi="Arial"/>
                <w:sz w:val="12"/>
                <w:szCs w:val="12"/>
                <w:lang w:val="en-GB"/>
              </w:rPr>
            </w:pPr>
            <w:r w:rsidRPr="002B2630">
              <w:rPr>
                <w:rFonts w:ascii="Arial" w:hAnsi="Arial"/>
                <w:sz w:val="12"/>
                <w:szCs w:val="12"/>
                <w:lang w:val="en-GB"/>
              </w:rPr>
              <w:t>BANK_CREDIT</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-0.078</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-0.131</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-0.037</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0.059</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-0.015</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0.028</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-0.059</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0.563</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0.283</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0.385</w:t>
            </w:r>
          </w:p>
        </w:tc>
        <w:tc>
          <w:tcPr>
            <w:tcW w:w="0" w:type="auto"/>
            <w:vAlign w:val="center"/>
          </w:tcPr>
          <w:p w:rsidR="005B0760" w:rsidRPr="002B2630" w:rsidRDefault="005B0760" w:rsidP="00A14B33">
            <w:pPr>
              <w:jc w:val="center"/>
              <w:rPr>
                <w:rFonts w:ascii="Arial" w:hAnsi="Arial"/>
                <w:sz w:val="12"/>
                <w:szCs w:val="12"/>
                <w:lang w:val="en-GB"/>
              </w:rPr>
            </w:pPr>
            <w:r w:rsidRPr="002B2630">
              <w:rPr>
                <w:rFonts w:ascii="Arial" w:hAnsi="Arial"/>
                <w:sz w:val="12"/>
                <w:szCs w:val="12"/>
                <w:lang w:val="en-GB"/>
              </w:rPr>
              <w:t>1.000</w:t>
            </w:r>
          </w:p>
        </w:tc>
      </w:tr>
    </w:tbl>
    <w:p w:rsidR="00F90DA0" w:rsidRPr="002B2630" w:rsidRDefault="00F90DA0" w:rsidP="00F90DA0">
      <w:pPr>
        <w:spacing w:after="200" w:line="276" w:lineRule="auto"/>
        <w:rPr>
          <w:rFonts w:ascii="Verdana" w:hAnsi="Verdana"/>
          <w:b/>
          <w:sz w:val="20"/>
          <w:szCs w:val="20"/>
          <w:lang w:val="en-GB"/>
        </w:rPr>
      </w:pPr>
    </w:p>
    <w:p w:rsidR="00F90DA0" w:rsidRPr="002B2630" w:rsidRDefault="00F90DA0" w:rsidP="00F90DA0">
      <w:pPr>
        <w:spacing w:after="200" w:line="276" w:lineRule="auto"/>
        <w:jc w:val="center"/>
        <w:rPr>
          <w:rFonts w:ascii="Verdana" w:hAnsi="Verdana"/>
          <w:b/>
          <w:sz w:val="20"/>
          <w:szCs w:val="20"/>
          <w:lang w:val="en-GB"/>
        </w:rPr>
        <w:sectPr w:rsidR="00F90DA0" w:rsidRPr="002B2630" w:rsidSect="00A14B33">
          <w:pgSz w:w="16838" w:h="11906" w:orient="landscape"/>
          <w:pgMar w:top="1701" w:right="1417" w:bottom="1701" w:left="1417" w:header="708" w:footer="708" w:gutter="0"/>
          <w:cols w:space="708"/>
          <w:docGrid w:linePitch="360"/>
        </w:sectPr>
      </w:pPr>
    </w:p>
    <w:p w:rsidR="00F90DA0" w:rsidRPr="002B2630" w:rsidRDefault="00F90DA0" w:rsidP="00F90DA0">
      <w:pPr>
        <w:spacing w:after="200" w:line="276" w:lineRule="auto"/>
        <w:jc w:val="center"/>
        <w:rPr>
          <w:rFonts w:ascii="Verdana" w:hAnsi="Verdana"/>
          <w:b/>
          <w:sz w:val="20"/>
          <w:szCs w:val="20"/>
          <w:lang w:val="en-GB"/>
        </w:rPr>
      </w:pPr>
      <w:r w:rsidRPr="002B2630">
        <w:rPr>
          <w:rFonts w:ascii="Verdana" w:hAnsi="Verdana"/>
          <w:b/>
          <w:sz w:val="20"/>
          <w:szCs w:val="20"/>
          <w:lang w:val="en-GB"/>
        </w:rPr>
        <w:lastRenderedPageBreak/>
        <w:t xml:space="preserve">Table </w:t>
      </w:r>
      <w:r w:rsidR="00D55369">
        <w:rPr>
          <w:rFonts w:ascii="Verdana" w:hAnsi="Verdana"/>
          <w:b/>
          <w:sz w:val="20"/>
          <w:szCs w:val="20"/>
          <w:lang w:val="en-GB"/>
        </w:rPr>
        <w:t>3</w:t>
      </w:r>
      <w:r w:rsidRPr="002B2630">
        <w:rPr>
          <w:rFonts w:ascii="Verdana" w:hAnsi="Verdana"/>
          <w:b/>
          <w:sz w:val="20"/>
          <w:szCs w:val="20"/>
          <w:lang w:val="en-GB"/>
        </w:rPr>
        <w:t>. Det</w:t>
      </w:r>
      <w:bookmarkStart w:id="0" w:name="OLE_LINK5"/>
      <w:bookmarkStart w:id="1" w:name="OLE_LINK6"/>
      <w:r w:rsidRPr="002B2630">
        <w:rPr>
          <w:rFonts w:ascii="Verdana" w:hAnsi="Verdana"/>
          <w:b/>
          <w:sz w:val="20"/>
          <w:szCs w:val="20"/>
          <w:lang w:val="en-GB"/>
        </w:rPr>
        <w:t>erminants of firm debt maturity</w:t>
      </w:r>
      <w:bookmarkEnd w:id="0"/>
      <w:bookmarkEnd w:id="1"/>
    </w:p>
    <w:p w:rsidR="008552EE" w:rsidRPr="002B2630" w:rsidRDefault="008552EE" w:rsidP="008552EE">
      <w:pPr>
        <w:pStyle w:val="Textoindependiente"/>
        <w:spacing w:after="0"/>
        <w:jc w:val="both"/>
        <w:rPr>
          <w:rFonts w:ascii="Verdana" w:hAnsi="Verdana" w:cstheme="minorHAnsi"/>
          <w:sz w:val="16"/>
          <w:szCs w:val="16"/>
        </w:rPr>
      </w:pPr>
      <w:r w:rsidRPr="002B2630">
        <w:rPr>
          <w:rFonts w:ascii="Verdana" w:hAnsi="Verdana" w:cstheme="minorHAnsi"/>
          <w:sz w:val="16"/>
          <w:szCs w:val="16"/>
        </w:rPr>
        <w:t xml:space="preserve">Regressions are estimated using panel data. The dependent variable (DEBT_MAT) is the percentage of the firm’s total debt that has a maturity of more than one year. ASSET_MAT is the ratio between net fixed assets and total assets. GROWTH is the market-to-book ratio. SIZE is the natural logarithm of sales. VOL_EBIT is the absolute value of change in </w:t>
      </w:r>
      <w:r w:rsidR="00D474E2">
        <w:rPr>
          <w:rFonts w:ascii="Verdana" w:hAnsi="Verdana" w:cstheme="minorHAnsi"/>
          <w:sz w:val="16"/>
          <w:szCs w:val="16"/>
        </w:rPr>
        <w:t>EBIT</w:t>
      </w:r>
      <w:r w:rsidRPr="002B2630">
        <w:rPr>
          <w:rFonts w:ascii="Verdana" w:hAnsi="Verdana" w:cstheme="minorHAnsi"/>
          <w:sz w:val="16"/>
          <w:szCs w:val="16"/>
        </w:rPr>
        <w:t>. FIRM_QUALITY is the ratio of net income plus depreciation to net debt. LEV is the ratio between total debt and the firm’s market value. RULE_OF_LAW is one of the six dimensions of the WGI</w:t>
      </w:r>
      <w:r w:rsidRPr="002B2630">
        <w:rPr>
          <w:rFonts w:ascii="Verdana" w:hAnsi="Verdana"/>
          <w:sz w:val="16"/>
          <w:szCs w:val="16"/>
        </w:rPr>
        <w:t xml:space="preserve"> and is a measure of the efficiency of the legal system</w:t>
      </w:r>
      <w:r>
        <w:rPr>
          <w:rFonts w:ascii="Verdana" w:hAnsi="Verdana"/>
          <w:sz w:val="16"/>
          <w:szCs w:val="16"/>
        </w:rPr>
        <w:t xml:space="preserve"> and</w:t>
      </w:r>
      <w:r w:rsidRPr="002B2630">
        <w:rPr>
          <w:rFonts w:ascii="Verdana" w:hAnsi="Verdana" w:cstheme="minorHAnsi"/>
          <w:sz w:val="16"/>
          <w:szCs w:val="16"/>
        </w:rPr>
        <w:t xml:space="preserve"> the protection of property rights. C_RIGHTS measures creditor rights.</w:t>
      </w:r>
      <w:r w:rsidRPr="002B2630">
        <w:rPr>
          <w:sz w:val="16"/>
          <w:szCs w:val="16"/>
        </w:rPr>
        <w:t xml:space="preserve"> </w:t>
      </w:r>
      <w:r w:rsidRPr="002B2630">
        <w:rPr>
          <w:rFonts w:ascii="Verdana" w:hAnsi="Verdana" w:cstheme="minorHAnsi"/>
          <w:sz w:val="16"/>
          <w:szCs w:val="16"/>
        </w:rPr>
        <w:t xml:space="preserve">BANK_CONC is the fraction of assets held by the three largest commercial banks in each country. BANK_CREDIT is the ratio of private credit by deposit money banks to GDP. T-statistics are in parentheses. ***, **, and * represent significance at the 1%, 5%, and 10% levels, respectively. </w:t>
      </w:r>
    </w:p>
    <w:p w:rsidR="00F90DA0" w:rsidRPr="002B2630" w:rsidRDefault="00F90DA0" w:rsidP="00F90DA0">
      <w:pPr>
        <w:ind w:left="-360"/>
        <w:jc w:val="center"/>
        <w:rPr>
          <w:rFonts w:ascii="Verdana" w:hAnsi="Verdana"/>
          <w:b/>
          <w:sz w:val="20"/>
          <w:szCs w:val="20"/>
          <w:lang w:val="en-GB"/>
        </w:rPr>
      </w:pPr>
    </w:p>
    <w:tbl>
      <w:tblPr>
        <w:tblW w:w="0" w:type="auto"/>
        <w:jc w:val="center"/>
        <w:tblCellMar>
          <w:left w:w="70" w:type="dxa"/>
          <w:right w:w="70" w:type="dxa"/>
        </w:tblCellMar>
        <w:tblLook w:val="01E0" w:firstRow="1" w:lastRow="1" w:firstColumn="1" w:lastColumn="1" w:noHBand="0" w:noVBand="0"/>
      </w:tblPr>
      <w:tblGrid>
        <w:gridCol w:w="1988"/>
        <w:gridCol w:w="914"/>
        <w:gridCol w:w="914"/>
        <w:gridCol w:w="914"/>
        <w:gridCol w:w="914"/>
        <w:gridCol w:w="914"/>
        <w:gridCol w:w="914"/>
        <w:gridCol w:w="914"/>
      </w:tblGrid>
      <w:tr w:rsidR="005D04F6" w:rsidRPr="002B2630" w:rsidTr="005D04F6">
        <w:trPr>
          <w:jc w:val="center"/>
        </w:trPr>
        <w:tc>
          <w:tcPr>
            <w:tcW w:w="0" w:type="auto"/>
            <w:tcBorders>
              <w:top w:val="double" w:sz="4" w:space="0" w:color="auto"/>
              <w:bottom w:val="single" w:sz="4" w:space="0" w:color="auto"/>
            </w:tcBorders>
            <w:vAlign w:val="center"/>
          </w:tcPr>
          <w:p w:rsidR="005D04F6" w:rsidRPr="005D04F6" w:rsidRDefault="005D04F6" w:rsidP="00A14B33">
            <w:pPr>
              <w:tabs>
                <w:tab w:val="num" w:pos="540"/>
              </w:tabs>
              <w:spacing w:before="60"/>
              <w:jc w:val="both"/>
              <w:rPr>
                <w:rFonts w:ascii="Verdana" w:hAnsi="Verdana"/>
                <w:sz w:val="12"/>
                <w:szCs w:val="12"/>
                <w:lang w:val="en-GB"/>
              </w:rPr>
            </w:pPr>
          </w:p>
        </w:tc>
        <w:tc>
          <w:tcPr>
            <w:tcW w:w="0" w:type="auto"/>
            <w:tcBorders>
              <w:top w:val="double" w:sz="4" w:space="0" w:color="auto"/>
              <w:bottom w:val="single" w:sz="4" w:space="0" w:color="auto"/>
            </w:tcBorders>
            <w:vAlign w:val="center"/>
          </w:tcPr>
          <w:p w:rsidR="005D04F6" w:rsidRPr="005D04F6" w:rsidRDefault="005D04F6" w:rsidP="00A14B33">
            <w:pPr>
              <w:tabs>
                <w:tab w:val="num" w:pos="655"/>
              </w:tabs>
              <w:jc w:val="center"/>
              <w:rPr>
                <w:rFonts w:ascii="Verdana" w:hAnsi="Verdana"/>
                <w:sz w:val="12"/>
                <w:szCs w:val="12"/>
                <w:lang w:val="en-GB"/>
              </w:rPr>
            </w:pPr>
            <w:r w:rsidRPr="005D04F6">
              <w:rPr>
                <w:rFonts w:ascii="Verdana" w:hAnsi="Verdana"/>
                <w:sz w:val="12"/>
                <w:szCs w:val="12"/>
                <w:lang w:val="en-GB"/>
              </w:rPr>
              <w:t>(1)</w:t>
            </w:r>
          </w:p>
        </w:tc>
        <w:tc>
          <w:tcPr>
            <w:tcW w:w="0" w:type="auto"/>
            <w:tcBorders>
              <w:top w:val="double" w:sz="4" w:space="0" w:color="auto"/>
              <w:bottom w:val="single" w:sz="4" w:space="0" w:color="auto"/>
            </w:tcBorders>
            <w:vAlign w:val="center"/>
          </w:tcPr>
          <w:p w:rsidR="005D04F6" w:rsidRPr="005D04F6" w:rsidRDefault="005D04F6" w:rsidP="00A14B33">
            <w:pPr>
              <w:tabs>
                <w:tab w:val="num" w:pos="655"/>
              </w:tabs>
              <w:jc w:val="center"/>
              <w:rPr>
                <w:rFonts w:ascii="Verdana" w:hAnsi="Verdana"/>
                <w:sz w:val="12"/>
                <w:szCs w:val="12"/>
                <w:lang w:val="en-GB"/>
              </w:rPr>
            </w:pPr>
            <w:r w:rsidRPr="005D04F6">
              <w:rPr>
                <w:rFonts w:ascii="Verdana" w:hAnsi="Verdana"/>
                <w:sz w:val="12"/>
                <w:szCs w:val="12"/>
                <w:lang w:val="en-GB"/>
              </w:rPr>
              <w:t>(2)</w:t>
            </w:r>
          </w:p>
        </w:tc>
        <w:tc>
          <w:tcPr>
            <w:tcW w:w="0" w:type="auto"/>
            <w:tcBorders>
              <w:top w:val="double" w:sz="4" w:space="0" w:color="auto"/>
              <w:bottom w:val="single" w:sz="4" w:space="0" w:color="auto"/>
            </w:tcBorders>
            <w:vAlign w:val="center"/>
          </w:tcPr>
          <w:p w:rsidR="005D04F6" w:rsidRPr="005D04F6" w:rsidRDefault="005D04F6" w:rsidP="00A14B33">
            <w:pPr>
              <w:tabs>
                <w:tab w:val="num" w:pos="655"/>
              </w:tabs>
              <w:jc w:val="center"/>
              <w:rPr>
                <w:rFonts w:ascii="Verdana" w:hAnsi="Verdana"/>
                <w:sz w:val="12"/>
                <w:szCs w:val="12"/>
                <w:lang w:val="en-GB"/>
              </w:rPr>
            </w:pPr>
            <w:r w:rsidRPr="005D04F6">
              <w:rPr>
                <w:rFonts w:ascii="Verdana" w:hAnsi="Verdana"/>
                <w:sz w:val="12"/>
                <w:szCs w:val="12"/>
                <w:lang w:val="en-GB"/>
              </w:rPr>
              <w:t>(3)</w:t>
            </w:r>
          </w:p>
        </w:tc>
        <w:tc>
          <w:tcPr>
            <w:tcW w:w="0" w:type="auto"/>
            <w:tcBorders>
              <w:top w:val="double" w:sz="4" w:space="0" w:color="auto"/>
              <w:bottom w:val="single" w:sz="4" w:space="0" w:color="auto"/>
            </w:tcBorders>
            <w:vAlign w:val="center"/>
          </w:tcPr>
          <w:p w:rsidR="005D04F6" w:rsidRPr="005D04F6" w:rsidRDefault="005D04F6" w:rsidP="00A14B33">
            <w:pPr>
              <w:tabs>
                <w:tab w:val="num" w:pos="655"/>
              </w:tabs>
              <w:jc w:val="center"/>
              <w:rPr>
                <w:rFonts w:ascii="Verdana" w:hAnsi="Verdana"/>
                <w:sz w:val="12"/>
                <w:szCs w:val="12"/>
                <w:lang w:val="en-GB"/>
              </w:rPr>
            </w:pPr>
            <w:r w:rsidRPr="005D04F6">
              <w:rPr>
                <w:rFonts w:ascii="Verdana" w:hAnsi="Verdana"/>
                <w:sz w:val="12"/>
                <w:szCs w:val="12"/>
                <w:lang w:val="en-GB"/>
              </w:rPr>
              <w:t>(4)</w:t>
            </w:r>
          </w:p>
        </w:tc>
        <w:tc>
          <w:tcPr>
            <w:tcW w:w="0" w:type="auto"/>
            <w:tcBorders>
              <w:top w:val="double" w:sz="4" w:space="0" w:color="auto"/>
              <w:bottom w:val="single" w:sz="4" w:space="0" w:color="auto"/>
            </w:tcBorders>
            <w:vAlign w:val="center"/>
          </w:tcPr>
          <w:p w:rsidR="005D04F6" w:rsidRPr="005D04F6" w:rsidRDefault="005D04F6" w:rsidP="00A14B33">
            <w:pPr>
              <w:tabs>
                <w:tab w:val="num" w:pos="655"/>
              </w:tabs>
              <w:jc w:val="center"/>
              <w:rPr>
                <w:rFonts w:ascii="Verdana" w:hAnsi="Verdana"/>
                <w:sz w:val="12"/>
                <w:szCs w:val="12"/>
                <w:lang w:val="en-GB"/>
              </w:rPr>
            </w:pPr>
            <w:r w:rsidRPr="005D04F6">
              <w:rPr>
                <w:rFonts w:ascii="Verdana" w:hAnsi="Verdana"/>
                <w:sz w:val="12"/>
                <w:szCs w:val="12"/>
                <w:lang w:val="en-GB"/>
              </w:rPr>
              <w:t>(5)</w:t>
            </w:r>
          </w:p>
        </w:tc>
        <w:tc>
          <w:tcPr>
            <w:tcW w:w="0" w:type="auto"/>
            <w:tcBorders>
              <w:top w:val="double" w:sz="4" w:space="0" w:color="auto"/>
              <w:bottom w:val="single" w:sz="4" w:space="0" w:color="auto"/>
            </w:tcBorders>
            <w:vAlign w:val="center"/>
          </w:tcPr>
          <w:p w:rsidR="005D04F6" w:rsidRPr="005D04F6" w:rsidRDefault="005D04F6" w:rsidP="00A14B33">
            <w:pPr>
              <w:tabs>
                <w:tab w:val="num" w:pos="655"/>
              </w:tabs>
              <w:jc w:val="center"/>
              <w:rPr>
                <w:rFonts w:ascii="Verdana" w:hAnsi="Verdana"/>
                <w:sz w:val="12"/>
                <w:szCs w:val="12"/>
                <w:lang w:val="en-GB"/>
              </w:rPr>
            </w:pPr>
            <w:r w:rsidRPr="005D04F6">
              <w:rPr>
                <w:rFonts w:ascii="Verdana" w:hAnsi="Verdana"/>
                <w:sz w:val="12"/>
                <w:szCs w:val="12"/>
                <w:lang w:val="en-GB"/>
              </w:rPr>
              <w:t>(6)</w:t>
            </w:r>
          </w:p>
        </w:tc>
        <w:tc>
          <w:tcPr>
            <w:tcW w:w="0" w:type="auto"/>
            <w:tcBorders>
              <w:top w:val="double" w:sz="4" w:space="0" w:color="auto"/>
              <w:bottom w:val="single" w:sz="4" w:space="0" w:color="auto"/>
            </w:tcBorders>
            <w:vAlign w:val="center"/>
          </w:tcPr>
          <w:p w:rsidR="005D04F6" w:rsidRPr="005D04F6" w:rsidRDefault="005D04F6" w:rsidP="00A14B33">
            <w:pPr>
              <w:tabs>
                <w:tab w:val="num" w:pos="655"/>
              </w:tabs>
              <w:jc w:val="center"/>
              <w:rPr>
                <w:rFonts w:ascii="Verdana" w:hAnsi="Verdana"/>
                <w:sz w:val="12"/>
                <w:szCs w:val="12"/>
                <w:lang w:val="en-GB"/>
              </w:rPr>
            </w:pPr>
            <w:r w:rsidRPr="005D04F6">
              <w:rPr>
                <w:rFonts w:ascii="Verdana" w:hAnsi="Verdana"/>
                <w:sz w:val="12"/>
                <w:szCs w:val="12"/>
                <w:lang w:val="en-GB"/>
              </w:rPr>
              <w:t>(7)</w:t>
            </w:r>
          </w:p>
        </w:tc>
      </w:tr>
      <w:tr w:rsidR="005D04F6" w:rsidRPr="002B2630" w:rsidTr="00CE4B7B">
        <w:trPr>
          <w:jc w:val="center"/>
        </w:trPr>
        <w:tc>
          <w:tcPr>
            <w:tcW w:w="0" w:type="auto"/>
            <w:tcBorders>
              <w:top w:val="single" w:sz="4" w:space="0" w:color="auto"/>
            </w:tcBorders>
            <w:vAlign w:val="center"/>
          </w:tcPr>
          <w:p w:rsidR="005D04F6" w:rsidRPr="005D04F6" w:rsidRDefault="005D04F6" w:rsidP="00A14B33">
            <w:pPr>
              <w:tabs>
                <w:tab w:val="num" w:pos="540"/>
              </w:tabs>
              <w:jc w:val="both"/>
              <w:rPr>
                <w:rFonts w:ascii="Verdana" w:hAnsi="Verdana"/>
                <w:sz w:val="12"/>
                <w:szCs w:val="12"/>
                <w:lang w:val="en-GB"/>
              </w:rPr>
            </w:pPr>
            <w:r w:rsidRPr="005D04F6">
              <w:rPr>
                <w:rFonts w:ascii="Verdana" w:hAnsi="Verdana"/>
                <w:sz w:val="12"/>
                <w:szCs w:val="12"/>
                <w:lang w:val="en-GB"/>
              </w:rPr>
              <w:t>Intercept</w:t>
            </w:r>
          </w:p>
        </w:tc>
        <w:tc>
          <w:tcPr>
            <w:tcW w:w="0" w:type="auto"/>
            <w:tcBorders>
              <w:top w:val="single" w:sz="4" w:space="0" w:color="auto"/>
            </w:tcBorders>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0.4493</w:t>
            </w:r>
            <w:r w:rsidRPr="005D04F6">
              <w:rPr>
                <w:rFonts w:ascii="Verdana" w:hAnsi="Verdana"/>
                <w:sz w:val="12"/>
                <w:szCs w:val="12"/>
                <w:vertAlign w:val="superscript"/>
                <w:lang w:val="en-US"/>
              </w:rPr>
              <w:t>***</w:t>
            </w:r>
            <w:r w:rsidRPr="005D04F6">
              <w:rPr>
                <w:rFonts w:ascii="Verdana" w:hAnsi="Verdana"/>
                <w:sz w:val="12"/>
                <w:szCs w:val="12"/>
                <w:lang w:val="en-US"/>
              </w:rPr>
              <w:br/>
              <w:t>(52.51)</w:t>
            </w:r>
          </w:p>
        </w:tc>
        <w:tc>
          <w:tcPr>
            <w:tcW w:w="0" w:type="auto"/>
            <w:tcBorders>
              <w:top w:val="single" w:sz="4" w:space="0" w:color="auto"/>
            </w:tcBorders>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0.4071</w:t>
            </w:r>
            <w:r w:rsidRPr="005D04F6">
              <w:rPr>
                <w:rFonts w:ascii="Verdana" w:hAnsi="Verdana"/>
                <w:sz w:val="12"/>
                <w:szCs w:val="12"/>
                <w:vertAlign w:val="superscript"/>
                <w:lang w:val="en-US"/>
              </w:rPr>
              <w:t>***</w:t>
            </w:r>
            <w:r w:rsidRPr="005D04F6">
              <w:rPr>
                <w:rFonts w:ascii="Verdana" w:hAnsi="Verdana"/>
                <w:sz w:val="12"/>
                <w:szCs w:val="12"/>
                <w:lang w:val="en-US"/>
              </w:rPr>
              <w:br/>
              <w:t>(30.47)</w:t>
            </w:r>
          </w:p>
        </w:tc>
        <w:tc>
          <w:tcPr>
            <w:tcW w:w="0" w:type="auto"/>
            <w:tcBorders>
              <w:top w:val="single" w:sz="4" w:space="0" w:color="auto"/>
            </w:tcBorders>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0.4292</w:t>
            </w:r>
            <w:r w:rsidRPr="005D04F6">
              <w:rPr>
                <w:rFonts w:ascii="Verdana" w:hAnsi="Verdana"/>
                <w:sz w:val="12"/>
                <w:szCs w:val="12"/>
                <w:vertAlign w:val="superscript"/>
                <w:lang w:val="en-US"/>
              </w:rPr>
              <w:t>***</w:t>
            </w:r>
            <w:r w:rsidRPr="005D04F6">
              <w:rPr>
                <w:rFonts w:ascii="Verdana" w:hAnsi="Verdana"/>
                <w:sz w:val="12"/>
                <w:szCs w:val="12"/>
                <w:lang w:val="en-US"/>
              </w:rPr>
              <w:br/>
              <w:t>(40.40)</w:t>
            </w:r>
          </w:p>
        </w:tc>
        <w:tc>
          <w:tcPr>
            <w:tcW w:w="0" w:type="auto"/>
            <w:tcBorders>
              <w:top w:val="single" w:sz="4" w:space="0" w:color="auto"/>
            </w:tcBorders>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0.4223</w:t>
            </w:r>
            <w:r w:rsidRPr="005D04F6">
              <w:rPr>
                <w:rFonts w:ascii="Verdana" w:hAnsi="Verdana"/>
                <w:sz w:val="12"/>
                <w:szCs w:val="12"/>
                <w:vertAlign w:val="superscript"/>
                <w:lang w:val="en-US"/>
              </w:rPr>
              <w:t>***</w:t>
            </w:r>
            <w:r w:rsidRPr="005D04F6">
              <w:rPr>
                <w:rFonts w:ascii="Verdana" w:hAnsi="Verdana"/>
                <w:sz w:val="12"/>
                <w:szCs w:val="12"/>
                <w:lang w:val="en-US"/>
              </w:rPr>
              <w:br/>
              <w:t>(37.96)</w:t>
            </w:r>
          </w:p>
        </w:tc>
        <w:tc>
          <w:tcPr>
            <w:tcW w:w="0" w:type="auto"/>
            <w:tcBorders>
              <w:top w:val="single" w:sz="4" w:space="0" w:color="auto"/>
            </w:tcBorders>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0.4828</w:t>
            </w:r>
            <w:r w:rsidRPr="005D04F6">
              <w:rPr>
                <w:rFonts w:ascii="Verdana" w:hAnsi="Verdana"/>
                <w:sz w:val="12"/>
                <w:szCs w:val="12"/>
                <w:vertAlign w:val="superscript"/>
                <w:lang w:val="en-US"/>
              </w:rPr>
              <w:t>***</w:t>
            </w:r>
            <w:r w:rsidRPr="005D04F6">
              <w:rPr>
                <w:rFonts w:ascii="Verdana" w:hAnsi="Verdana"/>
                <w:sz w:val="12"/>
                <w:szCs w:val="12"/>
                <w:lang w:val="en-US"/>
              </w:rPr>
              <w:br/>
              <w:t>(45.92)</w:t>
            </w:r>
          </w:p>
        </w:tc>
        <w:tc>
          <w:tcPr>
            <w:tcW w:w="0" w:type="auto"/>
            <w:tcBorders>
              <w:top w:val="single" w:sz="4" w:space="0" w:color="auto"/>
            </w:tcBorders>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0.3754</w:t>
            </w:r>
            <w:r w:rsidRPr="005D04F6">
              <w:rPr>
                <w:rFonts w:ascii="Verdana" w:hAnsi="Verdana"/>
                <w:sz w:val="12"/>
                <w:szCs w:val="12"/>
                <w:vertAlign w:val="superscript"/>
                <w:lang w:val="en-US"/>
              </w:rPr>
              <w:t>***</w:t>
            </w:r>
            <w:r w:rsidRPr="005D04F6">
              <w:rPr>
                <w:rFonts w:ascii="Verdana" w:hAnsi="Verdana"/>
                <w:sz w:val="12"/>
                <w:szCs w:val="12"/>
                <w:lang w:val="en-US"/>
              </w:rPr>
              <w:br/>
              <w:t>(21.28)</w:t>
            </w:r>
          </w:p>
        </w:tc>
        <w:tc>
          <w:tcPr>
            <w:tcW w:w="0" w:type="auto"/>
            <w:tcBorders>
              <w:top w:val="single" w:sz="4" w:space="0" w:color="auto"/>
            </w:tcBorders>
          </w:tcPr>
          <w:p w:rsidR="005D04F6" w:rsidRPr="005D04F6" w:rsidRDefault="005D04F6" w:rsidP="00CE4B7B">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0.4194</w:t>
            </w:r>
            <w:r w:rsidRPr="005D04F6">
              <w:rPr>
                <w:rFonts w:ascii="Verdana" w:hAnsi="Verdana"/>
                <w:sz w:val="12"/>
                <w:szCs w:val="12"/>
                <w:vertAlign w:val="superscript"/>
                <w:lang w:val="en-US"/>
              </w:rPr>
              <w:t>***</w:t>
            </w:r>
            <w:r w:rsidRPr="005D04F6">
              <w:rPr>
                <w:rFonts w:ascii="Verdana" w:hAnsi="Verdana"/>
                <w:sz w:val="12"/>
                <w:szCs w:val="12"/>
                <w:lang w:val="en-US"/>
              </w:rPr>
              <w:br/>
              <w:t>(15.19)</w:t>
            </w:r>
          </w:p>
        </w:tc>
      </w:tr>
      <w:tr w:rsidR="005D04F6" w:rsidRPr="002B2630" w:rsidTr="00CE4B7B">
        <w:trPr>
          <w:jc w:val="center"/>
        </w:trPr>
        <w:tc>
          <w:tcPr>
            <w:tcW w:w="0" w:type="auto"/>
            <w:vAlign w:val="center"/>
          </w:tcPr>
          <w:p w:rsidR="005D04F6" w:rsidRPr="005D04F6" w:rsidRDefault="005D04F6" w:rsidP="00A14B33">
            <w:pPr>
              <w:tabs>
                <w:tab w:val="num" w:pos="540"/>
              </w:tabs>
              <w:jc w:val="both"/>
              <w:rPr>
                <w:rFonts w:ascii="Verdana" w:hAnsi="Verdana"/>
                <w:sz w:val="12"/>
                <w:szCs w:val="12"/>
                <w:lang w:val="en-GB"/>
              </w:rPr>
            </w:pPr>
            <w:r w:rsidRPr="005D04F6">
              <w:rPr>
                <w:rFonts w:ascii="Verdana" w:hAnsi="Verdana"/>
                <w:sz w:val="12"/>
                <w:szCs w:val="12"/>
                <w:lang w:val="en-GB"/>
              </w:rPr>
              <w:t>ASSET_MAT</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0.0576</w:t>
            </w:r>
            <w:r w:rsidRPr="005D04F6">
              <w:rPr>
                <w:rFonts w:ascii="Verdana" w:hAnsi="Verdana"/>
                <w:sz w:val="12"/>
                <w:szCs w:val="12"/>
                <w:vertAlign w:val="superscript"/>
                <w:lang w:val="en-US"/>
              </w:rPr>
              <w:t>***</w:t>
            </w:r>
            <w:r w:rsidRPr="005D04F6">
              <w:rPr>
                <w:rFonts w:ascii="Verdana" w:hAnsi="Verdana"/>
                <w:sz w:val="12"/>
                <w:szCs w:val="12"/>
                <w:lang w:val="en-US"/>
              </w:rPr>
              <w:br/>
              <w:t>(6.61)</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0.0577</w:t>
            </w:r>
            <w:r w:rsidRPr="005D04F6">
              <w:rPr>
                <w:rFonts w:ascii="Verdana" w:hAnsi="Verdana"/>
                <w:sz w:val="12"/>
                <w:szCs w:val="12"/>
                <w:vertAlign w:val="superscript"/>
                <w:lang w:val="en-US"/>
              </w:rPr>
              <w:t>***</w:t>
            </w:r>
            <w:r w:rsidRPr="005D04F6">
              <w:rPr>
                <w:rFonts w:ascii="Verdana" w:hAnsi="Verdana"/>
                <w:sz w:val="12"/>
                <w:szCs w:val="12"/>
                <w:lang w:val="en-US"/>
              </w:rPr>
              <w:br/>
              <w:t>(6.62)</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0.0589</w:t>
            </w:r>
            <w:r w:rsidRPr="005D04F6">
              <w:rPr>
                <w:rFonts w:ascii="Verdana" w:hAnsi="Verdana"/>
                <w:sz w:val="12"/>
                <w:szCs w:val="12"/>
                <w:vertAlign w:val="superscript"/>
                <w:lang w:val="en-US"/>
              </w:rPr>
              <w:t>***</w:t>
            </w:r>
            <w:r w:rsidRPr="005D04F6">
              <w:rPr>
                <w:rFonts w:ascii="Verdana" w:hAnsi="Verdana"/>
                <w:sz w:val="12"/>
                <w:szCs w:val="12"/>
                <w:lang w:val="en-US"/>
              </w:rPr>
              <w:br/>
              <w:t>(6.75)</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0.0549</w:t>
            </w:r>
            <w:r w:rsidRPr="005D04F6">
              <w:rPr>
                <w:rFonts w:ascii="Verdana" w:hAnsi="Verdana"/>
                <w:sz w:val="12"/>
                <w:szCs w:val="12"/>
                <w:vertAlign w:val="superscript"/>
                <w:lang w:val="en-US"/>
              </w:rPr>
              <w:t>***</w:t>
            </w:r>
            <w:r w:rsidRPr="005D04F6">
              <w:rPr>
                <w:rFonts w:ascii="Verdana" w:hAnsi="Verdana"/>
                <w:sz w:val="12"/>
                <w:szCs w:val="12"/>
                <w:lang w:val="en-US"/>
              </w:rPr>
              <w:br/>
              <w:t>(6.10)</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0.0523</w:t>
            </w:r>
            <w:r w:rsidRPr="005D04F6">
              <w:rPr>
                <w:rFonts w:ascii="Verdana" w:hAnsi="Verdana"/>
                <w:sz w:val="12"/>
                <w:szCs w:val="12"/>
                <w:vertAlign w:val="superscript"/>
                <w:lang w:val="en-US"/>
              </w:rPr>
              <w:t>***</w:t>
            </w:r>
            <w:r w:rsidRPr="005D04F6">
              <w:rPr>
                <w:rFonts w:ascii="Verdana" w:hAnsi="Verdana"/>
                <w:sz w:val="12"/>
                <w:szCs w:val="12"/>
                <w:lang w:val="en-US"/>
              </w:rPr>
              <w:br/>
              <w:t>(5.69)</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0.0538</w:t>
            </w:r>
            <w:r w:rsidRPr="005D04F6">
              <w:rPr>
                <w:rFonts w:ascii="Verdana" w:hAnsi="Verdana"/>
                <w:sz w:val="12"/>
                <w:szCs w:val="12"/>
                <w:vertAlign w:val="superscript"/>
                <w:lang w:val="en-US"/>
              </w:rPr>
              <w:t>***</w:t>
            </w:r>
            <w:r w:rsidRPr="005D04F6">
              <w:rPr>
                <w:rFonts w:ascii="Verdana" w:hAnsi="Verdana"/>
                <w:sz w:val="12"/>
                <w:szCs w:val="12"/>
                <w:lang w:val="en-US"/>
              </w:rPr>
              <w:br/>
              <w:t>(5.72)</w:t>
            </w:r>
          </w:p>
        </w:tc>
        <w:tc>
          <w:tcPr>
            <w:tcW w:w="0" w:type="auto"/>
          </w:tcPr>
          <w:p w:rsidR="005D04F6" w:rsidRPr="005D04F6" w:rsidRDefault="005D04F6" w:rsidP="00CE4B7B">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0.0539</w:t>
            </w:r>
            <w:r w:rsidRPr="005D04F6">
              <w:rPr>
                <w:rFonts w:ascii="Verdana" w:hAnsi="Verdana"/>
                <w:sz w:val="12"/>
                <w:szCs w:val="12"/>
                <w:vertAlign w:val="superscript"/>
                <w:lang w:val="en-US"/>
              </w:rPr>
              <w:t>***</w:t>
            </w:r>
            <w:r w:rsidRPr="005D04F6">
              <w:rPr>
                <w:rFonts w:ascii="Verdana" w:hAnsi="Verdana"/>
                <w:sz w:val="12"/>
                <w:szCs w:val="12"/>
                <w:lang w:val="en-US"/>
              </w:rPr>
              <w:br/>
              <w:t>(5.73)</w:t>
            </w:r>
          </w:p>
        </w:tc>
      </w:tr>
      <w:tr w:rsidR="005D04F6" w:rsidRPr="002B2630" w:rsidTr="00CE4B7B">
        <w:trPr>
          <w:jc w:val="center"/>
        </w:trPr>
        <w:tc>
          <w:tcPr>
            <w:tcW w:w="0" w:type="auto"/>
            <w:vAlign w:val="center"/>
          </w:tcPr>
          <w:p w:rsidR="005D04F6" w:rsidRPr="005D04F6" w:rsidRDefault="005D04F6" w:rsidP="00A14B33">
            <w:pPr>
              <w:tabs>
                <w:tab w:val="num" w:pos="540"/>
              </w:tabs>
              <w:jc w:val="both"/>
              <w:rPr>
                <w:rFonts w:ascii="Verdana" w:hAnsi="Verdana"/>
                <w:sz w:val="12"/>
                <w:szCs w:val="12"/>
                <w:lang w:val="en-GB"/>
              </w:rPr>
            </w:pPr>
            <w:r w:rsidRPr="005D04F6">
              <w:rPr>
                <w:rFonts w:ascii="Verdana" w:hAnsi="Verdana"/>
                <w:sz w:val="12"/>
                <w:szCs w:val="12"/>
                <w:lang w:val="en-GB"/>
              </w:rPr>
              <w:t>GROWTH</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0.0035</w:t>
            </w:r>
            <w:r w:rsidRPr="005D04F6">
              <w:rPr>
                <w:rFonts w:ascii="Verdana" w:hAnsi="Verdana"/>
                <w:sz w:val="12"/>
                <w:szCs w:val="12"/>
                <w:vertAlign w:val="superscript"/>
                <w:lang w:val="en-US"/>
              </w:rPr>
              <w:t>***</w:t>
            </w:r>
            <w:r w:rsidRPr="005D04F6">
              <w:rPr>
                <w:rFonts w:ascii="Verdana" w:hAnsi="Verdana"/>
                <w:sz w:val="12"/>
                <w:szCs w:val="12"/>
                <w:lang w:val="en-US"/>
              </w:rPr>
              <w:br/>
              <w:t>(6.85)</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0.0035</w:t>
            </w:r>
            <w:r w:rsidRPr="005D04F6">
              <w:rPr>
                <w:rFonts w:ascii="Verdana" w:hAnsi="Verdana"/>
                <w:sz w:val="12"/>
                <w:szCs w:val="12"/>
                <w:vertAlign w:val="superscript"/>
                <w:lang w:val="en-US"/>
              </w:rPr>
              <w:t>***</w:t>
            </w:r>
            <w:r w:rsidRPr="005D04F6">
              <w:rPr>
                <w:rFonts w:ascii="Verdana" w:hAnsi="Verdana"/>
                <w:sz w:val="12"/>
                <w:szCs w:val="12"/>
                <w:lang w:val="en-US"/>
              </w:rPr>
              <w:br/>
              <w:t>(6.81)</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0.0035</w:t>
            </w:r>
            <w:r w:rsidRPr="005D04F6">
              <w:rPr>
                <w:rFonts w:ascii="Verdana" w:hAnsi="Verdana"/>
                <w:sz w:val="12"/>
                <w:szCs w:val="12"/>
                <w:vertAlign w:val="superscript"/>
                <w:lang w:val="en-US"/>
              </w:rPr>
              <w:t>***</w:t>
            </w:r>
            <w:r w:rsidRPr="005D04F6">
              <w:rPr>
                <w:rFonts w:ascii="Verdana" w:hAnsi="Verdana"/>
                <w:sz w:val="12"/>
                <w:szCs w:val="12"/>
                <w:lang w:val="en-US"/>
              </w:rPr>
              <w:br/>
              <w:t>(6.90)</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0.0035</w:t>
            </w:r>
            <w:r w:rsidRPr="005D04F6">
              <w:rPr>
                <w:rFonts w:ascii="Verdana" w:hAnsi="Verdana"/>
                <w:sz w:val="12"/>
                <w:szCs w:val="12"/>
                <w:vertAlign w:val="superscript"/>
                <w:lang w:val="en-US"/>
              </w:rPr>
              <w:t>***</w:t>
            </w:r>
            <w:r w:rsidRPr="005D04F6">
              <w:rPr>
                <w:rFonts w:ascii="Verdana" w:hAnsi="Verdana"/>
                <w:sz w:val="12"/>
                <w:szCs w:val="12"/>
                <w:lang w:val="en-US"/>
              </w:rPr>
              <w:br/>
              <w:t>(6.63)</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0.0033</w:t>
            </w:r>
            <w:r w:rsidRPr="005D04F6">
              <w:rPr>
                <w:rFonts w:ascii="Verdana" w:hAnsi="Verdana"/>
                <w:sz w:val="12"/>
                <w:szCs w:val="12"/>
                <w:vertAlign w:val="superscript"/>
                <w:lang w:val="en-US"/>
              </w:rPr>
              <w:t>***</w:t>
            </w:r>
            <w:r w:rsidRPr="005D04F6">
              <w:rPr>
                <w:rFonts w:ascii="Verdana" w:hAnsi="Verdana"/>
                <w:sz w:val="12"/>
                <w:szCs w:val="12"/>
                <w:lang w:val="en-US"/>
              </w:rPr>
              <w:br/>
              <w:t>(6.15)</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0.0034</w:t>
            </w:r>
            <w:r w:rsidRPr="005D04F6">
              <w:rPr>
                <w:rFonts w:ascii="Verdana" w:hAnsi="Verdana"/>
                <w:sz w:val="12"/>
                <w:szCs w:val="12"/>
                <w:vertAlign w:val="superscript"/>
                <w:lang w:val="en-US"/>
              </w:rPr>
              <w:t>***</w:t>
            </w:r>
            <w:r w:rsidRPr="005D04F6">
              <w:rPr>
                <w:rFonts w:ascii="Verdana" w:hAnsi="Verdana"/>
                <w:sz w:val="12"/>
                <w:szCs w:val="12"/>
                <w:lang w:val="en-US"/>
              </w:rPr>
              <w:br/>
              <w:t>(6.22)</w:t>
            </w:r>
          </w:p>
        </w:tc>
        <w:tc>
          <w:tcPr>
            <w:tcW w:w="0" w:type="auto"/>
          </w:tcPr>
          <w:p w:rsidR="005D04F6" w:rsidRPr="005D04F6" w:rsidRDefault="005D04F6" w:rsidP="00CE4B7B">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0.0034</w:t>
            </w:r>
            <w:r w:rsidRPr="005D04F6">
              <w:rPr>
                <w:rFonts w:ascii="Verdana" w:hAnsi="Verdana"/>
                <w:sz w:val="12"/>
                <w:szCs w:val="12"/>
                <w:vertAlign w:val="superscript"/>
                <w:lang w:val="en-US"/>
              </w:rPr>
              <w:t>***</w:t>
            </w:r>
            <w:r w:rsidRPr="005D04F6">
              <w:rPr>
                <w:rFonts w:ascii="Verdana" w:hAnsi="Verdana"/>
                <w:sz w:val="12"/>
                <w:szCs w:val="12"/>
                <w:lang w:val="en-US"/>
              </w:rPr>
              <w:br/>
              <w:t>(6.31)</w:t>
            </w:r>
          </w:p>
        </w:tc>
      </w:tr>
      <w:tr w:rsidR="005D04F6" w:rsidRPr="002B2630" w:rsidTr="00CE4B7B">
        <w:trPr>
          <w:jc w:val="center"/>
        </w:trPr>
        <w:tc>
          <w:tcPr>
            <w:tcW w:w="0" w:type="auto"/>
            <w:vAlign w:val="center"/>
          </w:tcPr>
          <w:p w:rsidR="005D04F6" w:rsidRPr="005D04F6" w:rsidRDefault="005D04F6" w:rsidP="00A14B33">
            <w:pPr>
              <w:tabs>
                <w:tab w:val="num" w:pos="540"/>
              </w:tabs>
              <w:jc w:val="both"/>
              <w:rPr>
                <w:rFonts w:ascii="Verdana" w:hAnsi="Verdana"/>
                <w:sz w:val="12"/>
                <w:szCs w:val="12"/>
                <w:lang w:val="en-GB"/>
              </w:rPr>
            </w:pPr>
            <w:r w:rsidRPr="005D04F6">
              <w:rPr>
                <w:rFonts w:ascii="Verdana" w:hAnsi="Verdana"/>
                <w:sz w:val="12"/>
                <w:szCs w:val="12"/>
                <w:lang w:val="en-GB"/>
              </w:rPr>
              <w:t>SIZE</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0.0032</w:t>
            </w:r>
            <w:r w:rsidRPr="005D04F6">
              <w:rPr>
                <w:rFonts w:ascii="Verdana" w:hAnsi="Verdana"/>
                <w:sz w:val="12"/>
                <w:szCs w:val="12"/>
                <w:vertAlign w:val="superscript"/>
                <w:lang w:val="en-US"/>
              </w:rPr>
              <w:t>**</w:t>
            </w:r>
            <w:r w:rsidRPr="005D04F6">
              <w:rPr>
                <w:rFonts w:ascii="Verdana" w:hAnsi="Verdana"/>
                <w:sz w:val="12"/>
                <w:szCs w:val="12"/>
                <w:lang w:val="en-US"/>
              </w:rPr>
              <w:br/>
              <w:t>(2.11)</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0.0034</w:t>
            </w:r>
            <w:r w:rsidRPr="005D04F6">
              <w:rPr>
                <w:rFonts w:ascii="Verdana" w:hAnsi="Verdana"/>
                <w:sz w:val="12"/>
                <w:szCs w:val="12"/>
                <w:vertAlign w:val="superscript"/>
                <w:lang w:val="en-US"/>
              </w:rPr>
              <w:t>**</w:t>
            </w:r>
            <w:r w:rsidRPr="005D04F6">
              <w:rPr>
                <w:rFonts w:ascii="Verdana" w:hAnsi="Verdana"/>
                <w:sz w:val="12"/>
                <w:szCs w:val="12"/>
                <w:lang w:val="en-US"/>
              </w:rPr>
              <w:br/>
              <w:t>(2.25)</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0.0031</w:t>
            </w:r>
            <w:r w:rsidRPr="005D04F6">
              <w:rPr>
                <w:rFonts w:ascii="Verdana" w:hAnsi="Verdana"/>
                <w:sz w:val="12"/>
                <w:szCs w:val="12"/>
                <w:vertAlign w:val="superscript"/>
                <w:lang w:val="en-US"/>
              </w:rPr>
              <w:t>**</w:t>
            </w:r>
            <w:r w:rsidRPr="005D04F6">
              <w:rPr>
                <w:rFonts w:ascii="Verdana" w:hAnsi="Verdana"/>
                <w:sz w:val="12"/>
                <w:szCs w:val="12"/>
                <w:lang w:val="en-US"/>
              </w:rPr>
              <w:br/>
              <w:t>(2.06)</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0.0037</w:t>
            </w:r>
            <w:r w:rsidRPr="005D04F6">
              <w:rPr>
                <w:rFonts w:ascii="Verdana" w:hAnsi="Verdana"/>
                <w:sz w:val="12"/>
                <w:szCs w:val="12"/>
                <w:vertAlign w:val="superscript"/>
                <w:lang w:val="en-US"/>
              </w:rPr>
              <w:t>**</w:t>
            </w:r>
            <w:r w:rsidRPr="005D04F6">
              <w:rPr>
                <w:rFonts w:ascii="Verdana" w:hAnsi="Verdana"/>
                <w:sz w:val="12"/>
                <w:szCs w:val="12"/>
                <w:lang w:val="en-US"/>
              </w:rPr>
              <w:br/>
              <w:t>(2.37)</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0.0024</w:t>
            </w:r>
            <w:r w:rsidRPr="005D04F6">
              <w:rPr>
                <w:rFonts w:ascii="Verdana" w:hAnsi="Verdana"/>
                <w:sz w:val="12"/>
                <w:szCs w:val="12"/>
                <w:lang w:val="en-US"/>
              </w:rPr>
              <w:br/>
              <w:t>(1.48)</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0.0030</w:t>
            </w:r>
            <w:r w:rsidRPr="005D04F6">
              <w:rPr>
                <w:rFonts w:ascii="Verdana" w:hAnsi="Verdana"/>
                <w:sz w:val="12"/>
                <w:szCs w:val="12"/>
                <w:vertAlign w:val="superscript"/>
                <w:lang w:val="en-US"/>
              </w:rPr>
              <w:t>*</w:t>
            </w:r>
            <w:r w:rsidRPr="005D04F6">
              <w:rPr>
                <w:rFonts w:ascii="Verdana" w:hAnsi="Verdana"/>
                <w:sz w:val="12"/>
                <w:szCs w:val="12"/>
                <w:lang w:val="en-US"/>
              </w:rPr>
              <w:br/>
              <w:t>(1.82)</w:t>
            </w:r>
          </w:p>
        </w:tc>
        <w:tc>
          <w:tcPr>
            <w:tcW w:w="0" w:type="auto"/>
          </w:tcPr>
          <w:p w:rsidR="005D04F6" w:rsidRPr="005D04F6" w:rsidRDefault="005D04F6" w:rsidP="00CE4B7B">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0.0036</w:t>
            </w:r>
            <w:r w:rsidRPr="005D04F6">
              <w:rPr>
                <w:rFonts w:ascii="Verdana" w:hAnsi="Verdana"/>
                <w:sz w:val="12"/>
                <w:szCs w:val="12"/>
                <w:vertAlign w:val="superscript"/>
                <w:lang w:val="en-US"/>
              </w:rPr>
              <w:t>**</w:t>
            </w:r>
            <w:r w:rsidRPr="005D04F6">
              <w:rPr>
                <w:rFonts w:ascii="Verdana" w:hAnsi="Verdana"/>
                <w:sz w:val="12"/>
                <w:szCs w:val="12"/>
                <w:lang w:val="en-US"/>
              </w:rPr>
              <w:br/>
              <w:t>(2.20)</w:t>
            </w:r>
          </w:p>
        </w:tc>
      </w:tr>
      <w:tr w:rsidR="005D04F6" w:rsidRPr="002B2630" w:rsidTr="00CE4B7B">
        <w:trPr>
          <w:jc w:val="center"/>
        </w:trPr>
        <w:tc>
          <w:tcPr>
            <w:tcW w:w="0" w:type="auto"/>
            <w:vAlign w:val="center"/>
          </w:tcPr>
          <w:p w:rsidR="005D04F6" w:rsidRPr="005D04F6" w:rsidRDefault="005D04F6" w:rsidP="00D64672">
            <w:pPr>
              <w:tabs>
                <w:tab w:val="num" w:pos="540"/>
              </w:tabs>
              <w:jc w:val="both"/>
              <w:rPr>
                <w:rFonts w:ascii="Verdana" w:hAnsi="Verdana"/>
                <w:sz w:val="12"/>
                <w:szCs w:val="12"/>
                <w:lang w:val="en-GB"/>
              </w:rPr>
            </w:pPr>
            <w:r w:rsidRPr="005D04F6">
              <w:rPr>
                <w:rFonts w:ascii="Verdana" w:hAnsi="Verdana"/>
                <w:sz w:val="12"/>
                <w:szCs w:val="12"/>
                <w:lang w:val="en-GB"/>
              </w:rPr>
              <w:t>FIRM_QUALITY</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-0.0009</w:t>
            </w:r>
            <w:r w:rsidRPr="005D04F6">
              <w:rPr>
                <w:rFonts w:ascii="Verdana" w:hAnsi="Verdana"/>
                <w:sz w:val="12"/>
                <w:szCs w:val="12"/>
                <w:vertAlign w:val="superscript"/>
                <w:lang w:val="en-US"/>
              </w:rPr>
              <w:t>***</w:t>
            </w:r>
            <w:r w:rsidRPr="005D04F6">
              <w:rPr>
                <w:rFonts w:ascii="Verdana" w:hAnsi="Verdana"/>
                <w:sz w:val="12"/>
                <w:szCs w:val="12"/>
                <w:lang w:val="en-US"/>
              </w:rPr>
              <w:br/>
              <w:t>(-9.76)</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-0.0009</w:t>
            </w:r>
            <w:r w:rsidRPr="005D04F6">
              <w:rPr>
                <w:rFonts w:ascii="Verdana" w:hAnsi="Verdana"/>
                <w:sz w:val="12"/>
                <w:szCs w:val="12"/>
                <w:vertAlign w:val="superscript"/>
                <w:lang w:val="en-US"/>
              </w:rPr>
              <w:t>***</w:t>
            </w:r>
            <w:r w:rsidRPr="005D04F6">
              <w:rPr>
                <w:rFonts w:ascii="Verdana" w:hAnsi="Verdana"/>
                <w:sz w:val="12"/>
                <w:szCs w:val="12"/>
                <w:lang w:val="en-US"/>
              </w:rPr>
              <w:br/>
              <w:t>(-9.72)</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-0.0009</w:t>
            </w:r>
            <w:r w:rsidRPr="005D04F6">
              <w:rPr>
                <w:rFonts w:ascii="Verdana" w:hAnsi="Verdana"/>
                <w:sz w:val="12"/>
                <w:szCs w:val="12"/>
                <w:vertAlign w:val="superscript"/>
                <w:lang w:val="en-US"/>
              </w:rPr>
              <w:t>***</w:t>
            </w:r>
            <w:r w:rsidRPr="005D04F6">
              <w:rPr>
                <w:rFonts w:ascii="Verdana" w:hAnsi="Verdana"/>
                <w:sz w:val="12"/>
                <w:szCs w:val="12"/>
                <w:lang w:val="en-US"/>
              </w:rPr>
              <w:br/>
              <w:t>(-9.72)</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-0.0009</w:t>
            </w:r>
            <w:r w:rsidRPr="005D04F6">
              <w:rPr>
                <w:rFonts w:ascii="Verdana" w:hAnsi="Verdana"/>
                <w:sz w:val="12"/>
                <w:szCs w:val="12"/>
                <w:vertAlign w:val="superscript"/>
                <w:lang w:val="en-US"/>
              </w:rPr>
              <w:t>***</w:t>
            </w:r>
            <w:r w:rsidRPr="005D04F6">
              <w:rPr>
                <w:rFonts w:ascii="Verdana" w:hAnsi="Verdana"/>
                <w:sz w:val="12"/>
                <w:szCs w:val="12"/>
                <w:lang w:val="en-US"/>
              </w:rPr>
              <w:br/>
              <w:t>(-9.17)</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-0.0009</w:t>
            </w:r>
            <w:r w:rsidRPr="005D04F6">
              <w:rPr>
                <w:rFonts w:ascii="Verdana" w:hAnsi="Verdana"/>
                <w:sz w:val="12"/>
                <w:szCs w:val="12"/>
                <w:vertAlign w:val="superscript"/>
                <w:lang w:val="en-US"/>
              </w:rPr>
              <w:t>***</w:t>
            </w:r>
            <w:r w:rsidRPr="005D04F6">
              <w:rPr>
                <w:rFonts w:ascii="Verdana" w:hAnsi="Verdana"/>
                <w:sz w:val="12"/>
                <w:szCs w:val="12"/>
                <w:lang w:val="en-US"/>
              </w:rPr>
              <w:br/>
              <w:t>(-9.23)</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-0.0008</w:t>
            </w:r>
            <w:r w:rsidRPr="005D04F6">
              <w:rPr>
                <w:rFonts w:ascii="Verdana" w:hAnsi="Verdana"/>
                <w:sz w:val="12"/>
                <w:szCs w:val="12"/>
                <w:vertAlign w:val="superscript"/>
                <w:lang w:val="en-US"/>
              </w:rPr>
              <w:t>***</w:t>
            </w:r>
            <w:r w:rsidRPr="005D04F6">
              <w:rPr>
                <w:rFonts w:ascii="Verdana" w:hAnsi="Verdana"/>
                <w:sz w:val="12"/>
                <w:szCs w:val="12"/>
                <w:lang w:val="en-US"/>
              </w:rPr>
              <w:br/>
              <w:t>(-8.59)</w:t>
            </w:r>
          </w:p>
        </w:tc>
        <w:tc>
          <w:tcPr>
            <w:tcW w:w="0" w:type="auto"/>
          </w:tcPr>
          <w:p w:rsidR="005D04F6" w:rsidRPr="005D04F6" w:rsidRDefault="005D04F6" w:rsidP="00CE4B7B">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-0.0008</w:t>
            </w:r>
            <w:r w:rsidRPr="005D04F6">
              <w:rPr>
                <w:rFonts w:ascii="Verdana" w:hAnsi="Verdana"/>
                <w:sz w:val="12"/>
                <w:szCs w:val="12"/>
                <w:vertAlign w:val="superscript"/>
                <w:lang w:val="en-US"/>
              </w:rPr>
              <w:t>***</w:t>
            </w:r>
            <w:r w:rsidRPr="005D04F6">
              <w:rPr>
                <w:rFonts w:ascii="Verdana" w:hAnsi="Verdana"/>
                <w:sz w:val="12"/>
                <w:szCs w:val="12"/>
                <w:lang w:val="en-US"/>
              </w:rPr>
              <w:br/>
              <w:t>(-8.56)</w:t>
            </w:r>
          </w:p>
        </w:tc>
      </w:tr>
      <w:tr w:rsidR="005D04F6" w:rsidRPr="002B2630" w:rsidTr="00CE4B7B">
        <w:trPr>
          <w:jc w:val="center"/>
        </w:trPr>
        <w:tc>
          <w:tcPr>
            <w:tcW w:w="0" w:type="auto"/>
            <w:vAlign w:val="center"/>
          </w:tcPr>
          <w:p w:rsidR="005D04F6" w:rsidRPr="005D04F6" w:rsidRDefault="005D04F6" w:rsidP="00A14B33">
            <w:pPr>
              <w:tabs>
                <w:tab w:val="num" w:pos="540"/>
              </w:tabs>
              <w:jc w:val="both"/>
              <w:rPr>
                <w:rFonts w:ascii="Verdana" w:hAnsi="Verdana"/>
                <w:sz w:val="12"/>
                <w:szCs w:val="12"/>
                <w:lang w:val="en-GB"/>
              </w:rPr>
            </w:pPr>
            <w:r w:rsidRPr="005D04F6">
              <w:rPr>
                <w:rFonts w:ascii="Verdana" w:hAnsi="Verdana"/>
                <w:sz w:val="12"/>
                <w:szCs w:val="12"/>
                <w:lang w:val="en-GB"/>
              </w:rPr>
              <w:t>VOL_EBIT</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-0.0002</w:t>
            </w:r>
            <w:r w:rsidRPr="005D04F6">
              <w:rPr>
                <w:rFonts w:ascii="Verdana" w:hAnsi="Verdana"/>
                <w:sz w:val="12"/>
                <w:szCs w:val="12"/>
                <w:lang w:val="en-US"/>
              </w:rPr>
              <w:br/>
              <w:t>(-0.85)</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-0.0002</w:t>
            </w:r>
            <w:r w:rsidRPr="005D04F6">
              <w:rPr>
                <w:rFonts w:ascii="Verdana" w:hAnsi="Verdana"/>
                <w:sz w:val="12"/>
                <w:szCs w:val="12"/>
                <w:lang w:val="en-US"/>
              </w:rPr>
              <w:br/>
              <w:t>(-0.82)</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-0.0002</w:t>
            </w:r>
            <w:r w:rsidRPr="005D04F6">
              <w:rPr>
                <w:rFonts w:ascii="Verdana" w:hAnsi="Verdana"/>
                <w:sz w:val="12"/>
                <w:szCs w:val="12"/>
                <w:lang w:val="en-US"/>
              </w:rPr>
              <w:br/>
              <w:t>(-0.75)</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-0.0001</w:t>
            </w:r>
            <w:r w:rsidRPr="005D04F6">
              <w:rPr>
                <w:rFonts w:ascii="Verdana" w:hAnsi="Verdana"/>
                <w:sz w:val="12"/>
                <w:szCs w:val="12"/>
                <w:lang w:val="en-US"/>
              </w:rPr>
              <w:br/>
              <w:t>(-0.53)</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-0.0001</w:t>
            </w:r>
            <w:r w:rsidRPr="005D04F6">
              <w:rPr>
                <w:rFonts w:ascii="Verdana" w:hAnsi="Verdana"/>
                <w:sz w:val="12"/>
                <w:szCs w:val="12"/>
                <w:lang w:val="en-US"/>
              </w:rPr>
              <w:br/>
              <w:t>(-0.56)</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-0.0001</w:t>
            </w:r>
            <w:r w:rsidRPr="005D04F6">
              <w:rPr>
                <w:rFonts w:ascii="Verdana" w:hAnsi="Verdana"/>
                <w:sz w:val="12"/>
                <w:szCs w:val="12"/>
                <w:lang w:val="en-US"/>
              </w:rPr>
              <w:br/>
              <w:t>(-0.32)</w:t>
            </w:r>
          </w:p>
        </w:tc>
        <w:tc>
          <w:tcPr>
            <w:tcW w:w="0" w:type="auto"/>
          </w:tcPr>
          <w:p w:rsidR="005D04F6" w:rsidRPr="005D04F6" w:rsidRDefault="005D04F6" w:rsidP="00CE4B7B">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-0.0001</w:t>
            </w:r>
            <w:r w:rsidRPr="005D04F6">
              <w:rPr>
                <w:rFonts w:ascii="Verdana" w:hAnsi="Verdana"/>
                <w:sz w:val="12"/>
                <w:szCs w:val="12"/>
                <w:lang w:val="en-US"/>
              </w:rPr>
              <w:br/>
              <w:t>(-0.28)</w:t>
            </w:r>
          </w:p>
        </w:tc>
      </w:tr>
      <w:tr w:rsidR="005D04F6" w:rsidRPr="002B2630" w:rsidTr="00CE4B7B">
        <w:trPr>
          <w:jc w:val="center"/>
        </w:trPr>
        <w:tc>
          <w:tcPr>
            <w:tcW w:w="0" w:type="auto"/>
            <w:vAlign w:val="center"/>
          </w:tcPr>
          <w:p w:rsidR="005D04F6" w:rsidRPr="005D04F6" w:rsidRDefault="005D04F6" w:rsidP="00A14B33">
            <w:pPr>
              <w:tabs>
                <w:tab w:val="num" w:pos="540"/>
              </w:tabs>
              <w:jc w:val="both"/>
              <w:rPr>
                <w:rFonts w:ascii="Verdana" w:hAnsi="Verdana"/>
                <w:sz w:val="12"/>
                <w:szCs w:val="12"/>
                <w:lang w:val="en-GB"/>
              </w:rPr>
            </w:pPr>
            <w:r w:rsidRPr="005D04F6">
              <w:rPr>
                <w:rFonts w:ascii="Verdana" w:hAnsi="Verdana"/>
                <w:sz w:val="12"/>
                <w:szCs w:val="12"/>
                <w:lang w:val="en-GB"/>
              </w:rPr>
              <w:t>LEV</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0.0482</w:t>
            </w:r>
            <w:r w:rsidRPr="005D04F6">
              <w:rPr>
                <w:rFonts w:ascii="Verdana" w:hAnsi="Verdana"/>
                <w:sz w:val="12"/>
                <w:szCs w:val="12"/>
                <w:vertAlign w:val="superscript"/>
                <w:lang w:val="en-US"/>
              </w:rPr>
              <w:t>***</w:t>
            </w:r>
            <w:r w:rsidRPr="005D04F6">
              <w:rPr>
                <w:rFonts w:ascii="Verdana" w:hAnsi="Verdana"/>
                <w:sz w:val="12"/>
                <w:szCs w:val="12"/>
                <w:lang w:val="en-US"/>
              </w:rPr>
              <w:br/>
              <w:t>(9.32)</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0.0488</w:t>
            </w:r>
            <w:r w:rsidRPr="005D04F6">
              <w:rPr>
                <w:rFonts w:ascii="Verdana" w:hAnsi="Verdana"/>
                <w:sz w:val="12"/>
                <w:szCs w:val="12"/>
                <w:vertAlign w:val="superscript"/>
                <w:lang w:val="en-US"/>
              </w:rPr>
              <w:t>***</w:t>
            </w:r>
            <w:r w:rsidRPr="005D04F6">
              <w:rPr>
                <w:rFonts w:ascii="Verdana" w:hAnsi="Verdana"/>
                <w:sz w:val="12"/>
                <w:szCs w:val="12"/>
                <w:lang w:val="en-US"/>
              </w:rPr>
              <w:br/>
              <w:t>(9.42)</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0.0484</w:t>
            </w:r>
            <w:r w:rsidRPr="005D04F6">
              <w:rPr>
                <w:rFonts w:ascii="Verdana" w:hAnsi="Verdana"/>
                <w:sz w:val="12"/>
                <w:szCs w:val="12"/>
                <w:vertAlign w:val="superscript"/>
                <w:lang w:val="en-US"/>
              </w:rPr>
              <w:t>***</w:t>
            </w:r>
            <w:r w:rsidRPr="005D04F6">
              <w:rPr>
                <w:rFonts w:ascii="Verdana" w:hAnsi="Verdana"/>
                <w:sz w:val="12"/>
                <w:szCs w:val="12"/>
                <w:lang w:val="en-US"/>
              </w:rPr>
              <w:br/>
              <w:t>(9.35)</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0.0541</w:t>
            </w:r>
            <w:r w:rsidRPr="005D04F6">
              <w:rPr>
                <w:rFonts w:ascii="Verdana" w:hAnsi="Verdana"/>
                <w:sz w:val="12"/>
                <w:szCs w:val="12"/>
                <w:vertAlign w:val="superscript"/>
                <w:lang w:val="en-US"/>
              </w:rPr>
              <w:t>***</w:t>
            </w:r>
            <w:r w:rsidRPr="005D04F6">
              <w:rPr>
                <w:rFonts w:ascii="Verdana" w:hAnsi="Verdana"/>
                <w:sz w:val="12"/>
                <w:szCs w:val="12"/>
                <w:lang w:val="en-US"/>
              </w:rPr>
              <w:br/>
              <w:t>(10.11)</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0.0570</w:t>
            </w:r>
            <w:r w:rsidRPr="005D04F6">
              <w:rPr>
                <w:rFonts w:ascii="Verdana" w:hAnsi="Verdana"/>
                <w:sz w:val="12"/>
                <w:szCs w:val="12"/>
                <w:vertAlign w:val="superscript"/>
                <w:lang w:val="en-US"/>
              </w:rPr>
              <w:t>***</w:t>
            </w:r>
            <w:r w:rsidRPr="005D04F6">
              <w:rPr>
                <w:rFonts w:ascii="Verdana" w:hAnsi="Verdana"/>
                <w:sz w:val="12"/>
                <w:szCs w:val="12"/>
                <w:lang w:val="en-US"/>
              </w:rPr>
              <w:br/>
              <w:t>(10.39)</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0.0629</w:t>
            </w:r>
            <w:r w:rsidRPr="005D04F6">
              <w:rPr>
                <w:rFonts w:ascii="Verdana" w:hAnsi="Verdana"/>
                <w:sz w:val="12"/>
                <w:szCs w:val="12"/>
                <w:vertAlign w:val="superscript"/>
                <w:lang w:val="en-US"/>
              </w:rPr>
              <w:t>***</w:t>
            </w:r>
            <w:r w:rsidRPr="005D04F6">
              <w:rPr>
                <w:rFonts w:ascii="Verdana" w:hAnsi="Verdana"/>
                <w:sz w:val="12"/>
                <w:szCs w:val="12"/>
                <w:lang w:val="en-US"/>
              </w:rPr>
              <w:br/>
              <w:t>(11.21)</w:t>
            </w:r>
          </w:p>
        </w:tc>
        <w:tc>
          <w:tcPr>
            <w:tcW w:w="0" w:type="auto"/>
          </w:tcPr>
          <w:p w:rsidR="005D04F6" w:rsidRPr="005D04F6" w:rsidRDefault="005D04F6" w:rsidP="00CE4B7B">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0.0632</w:t>
            </w:r>
            <w:r w:rsidRPr="005D04F6">
              <w:rPr>
                <w:rFonts w:ascii="Verdana" w:hAnsi="Verdana"/>
                <w:sz w:val="12"/>
                <w:szCs w:val="12"/>
                <w:vertAlign w:val="superscript"/>
                <w:lang w:val="en-US"/>
              </w:rPr>
              <w:t>***</w:t>
            </w:r>
            <w:r w:rsidRPr="005D04F6">
              <w:rPr>
                <w:rFonts w:ascii="Verdana" w:hAnsi="Verdana"/>
                <w:sz w:val="12"/>
                <w:szCs w:val="12"/>
                <w:lang w:val="en-US"/>
              </w:rPr>
              <w:br/>
              <w:t>(11.26)</w:t>
            </w:r>
          </w:p>
        </w:tc>
      </w:tr>
      <w:tr w:rsidR="005D04F6" w:rsidRPr="002B2630" w:rsidTr="00CE4B7B">
        <w:trPr>
          <w:jc w:val="center"/>
        </w:trPr>
        <w:tc>
          <w:tcPr>
            <w:tcW w:w="0" w:type="auto"/>
            <w:vAlign w:val="center"/>
          </w:tcPr>
          <w:p w:rsidR="005D04F6" w:rsidRPr="005D04F6" w:rsidRDefault="005D04F6" w:rsidP="00A14B33">
            <w:pPr>
              <w:tabs>
                <w:tab w:val="num" w:pos="540"/>
              </w:tabs>
              <w:jc w:val="both"/>
              <w:rPr>
                <w:rFonts w:ascii="Verdana" w:hAnsi="Verdana"/>
                <w:sz w:val="12"/>
                <w:szCs w:val="12"/>
                <w:lang w:val="en-GB"/>
              </w:rPr>
            </w:pPr>
            <w:r w:rsidRPr="005D04F6">
              <w:rPr>
                <w:rFonts w:ascii="Verdana" w:hAnsi="Verdana"/>
                <w:sz w:val="12"/>
                <w:szCs w:val="12"/>
                <w:lang w:val="en-GB"/>
              </w:rPr>
              <w:t>RULE_OF_LAW</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br/>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0.0364</w:t>
            </w:r>
            <w:r w:rsidRPr="005D04F6">
              <w:rPr>
                <w:rFonts w:ascii="Verdana" w:hAnsi="Verdana"/>
                <w:sz w:val="12"/>
                <w:szCs w:val="12"/>
                <w:vertAlign w:val="superscript"/>
                <w:lang w:val="en-US"/>
              </w:rPr>
              <w:t>***</w:t>
            </w:r>
            <w:r w:rsidRPr="005D04F6">
              <w:rPr>
                <w:rFonts w:ascii="Verdana" w:hAnsi="Verdana"/>
                <w:sz w:val="12"/>
                <w:szCs w:val="12"/>
                <w:lang w:val="en-US"/>
              </w:rPr>
              <w:br/>
              <w:t>(4.12)</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br/>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br/>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br/>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0.0466</w:t>
            </w:r>
            <w:r w:rsidRPr="005D04F6">
              <w:rPr>
                <w:rFonts w:ascii="Verdana" w:hAnsi="Verdana"/>
                <w:sz w:val="12"/>
                <w:szCs w:val="12"/>
                <w:vertAlign w:val="superscript"/>
                <w:lang w:val="en-US"/>
              </w:rPr>
              <w:t>***</w:t>
            </w:r>
            <w:r w:rsidRPr="005D04F6">
              <w:rPr>
                <w:rFonts w:ascii="Verdana" w:hAnsi="Verdana"/>
                <w:sz w:val="12"/>
                <w:szCs w:val="12"/>
                <w:lang w:val="en-US"/>
              </w:rPr>
              <w:br/>
              <w:t>(4.28)</w:t>
            </w:r>
          </w:p>
        </w:tc>
        <w:tc>
          <w:tcPr>
            <w:tcW w:w="0" w:type="auto"/>
          </w:tcPr>
          <w:p w:rsidR="005D04F6" w:rsidRPr="005D04F6" w:rsidRDefault="005D04F6" w:rsidP="00CE4B7B">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0.0747</w:t>
            </w:r>
            <w:r w:rsidRPr="005D04F6">
              <w:rPr>
                <w:rFonts w:ascii="Verdana" w:hAnsi="Verdana"/>
                <w:sz w:val="12"/>
                <w:szCs w:val="12"/>
                <w:vertAlign w:val="superscript"/>
                <w:lang w:val="en-US"/>
              </w:rPr>
              <w:t>***</w:t>
            </w:r>
            <w:r w:rsidRPr="005D04F6">
              <w:rPr>
                <w:rFonts w:ascii="Verdana" w:hAnsi="Verdana"/>
                <w:sz w:val="12"/>
                <w:szCs w:val="12"/>
                <w:lang w:val="en-US"/>
              </w:rPr>
              <w:br/>
              <w:t>(4.39)</w:t>
            </w:r>
          </w:p>
        </w:tc>
      </w:tr>
      <w:tr w:rsidR="005D04F6" w:rsidRPr="002B2630" w:rsidTr="00CE4B7B">
        <w:trPr>
          <w:jc w:val="center"/>
        </w:trPr>
        <w:tc>
          <w:tcPr>
            <w:tcW w:w="0" w:type="auto"/>
            <w:vAlign w:val="center"/>
          </w:tcPr>
          <w:p w:rsidR="005D04F6" w:rsidRPr="005D04F6" w:rsidRDefault="005D04F6" w:rsidP="00A14B33">
            <w:pPr>
              <w:tabs>
                <w:tab w:val="num" w:pos="540"/>
              </w:tabs>
              <w:jc w:val="both"/>
              <w:rPr>
                <w:rFonts w:ascii="Verdana" w:hAnsi="Verdana"/>
                <w:sz w:val="12"/>
                <w:szCs w:val="12"/>
                <w:lang w:val="en-GB"/>
              </w:rPr>
            </w:pPr>
            <w:r w:rsidRPr="005D04F6">
              <w:rPr>
                <w:rFonts w:ascii="Verdana" w:hAnsi="Verdana"/>
                <w:sz w:val="12"/>
                <w:szCs w:val="12"/>
                <w:lang w:val="en-GB"/>
              </w:rPr>
              <w:t>C_RIGHTS</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br/>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br/>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0.0089</w:t>
            </w:r>
            <w:r w:rsidRPr="005D04F6">
              <w:rPr>
                <w:rFonts w:ascii="Verdana" w:hAnsi="Verdana"/>
                <w:sz w:val="12"/>
                <w:szCs w:val="12"/>
                <w:vertAlign w:val="superscript"/>
                <w:lang w:val="en-US"/>
              </w:rPr>
              <w:t>***</w:t>
            </w:r>
            <w:r w:rsidRPr="005D04F6">
              <w:rPr>
                <w:rFonts w:ascii="Verdana" w:hAnsi="Verdana"/>
                <w:sz w:val="12"/>
                <w:szCs w:val="12"/>
                <w:lang w:val="en-US"/>
              </w:rPr>
              <w:br/>
              <w:t>(3.19)</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br/>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br/>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0.0092</w:t>
            </w:r>
            <w:r w:rsidRPr="005D04F6">
              <w:rPr>
                <w:rFonts w:ascii="Verdana" w:hAnsi="Verdana"/>
                <w:sz w:val="12"/>
                <w:szCs w:val="12"/>
                <w:vertAlign w:val="superscript"/>
                <w:lang w:val="en-US"/>
              </w:rPr>
              <w:t>***</w:t>
            </w:r>
            <w:r w:rsidRPr="005D04F6">
              <w:rPr>
                <w:rFonts w:ascii="Verdana" w:hAnsi="Verdana"/>
                <w:sz w:val="12"/>
                <w:szCs w:val="12"/>
                <w:lang w:val="en-US"/>
              </w:rPr>
              <w:br/>
              <w:t>(3.16)</w:t>
            </w:r>
          </w:p>
        </w:tc>
        <w:tc>
          <w:tcPr>
            <w:tcW w:w="0" w:type="auto"/>
          </w:tcPr>
          <w:p w:rsidR="005D04F6" w:rsidRPr="005D04F6" w:rsidRDefault="005D04F6" w:rsidP="00CE4B7B">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-0.0171</w:t>
            </w:r>
            <w:r w:rsidRPr="005D04F6">
              <w:rPr>
                <w:rFonts w:ascii="Verdana" w:hAnsi="Verdana"/>
                <w:sz w:val="12"/>
                <w:szCs w:val="12"/>
                <w:vertAlign w:val="superscript"/>
                <w:lang w:val="en-US"/>
              </w:rPr>
              <w:t>*</w:t>
            </w:r>
            <w:r w:rsidRPr="005D04F6">
              <w:rPr>
                <w:rFonts w:ascii="Verdana" w:hAnsi="Verdana"/>
                <w:sz w:val="12"/>
                <w:szCs w:val="12"/>
                <w:lang w:val="en-US"/>
              </w:rPr>
              <w:br/>
              <w:t>(-1.91)</w:t>
            </w:r>
          </w:p>
        </w:tc>
      </w:tr>
      <w:tr w:rsidR="005D04F6" w:rsidRPr="002B2630" w:rsidTr="00CE4B7B">
        <w:trPr>
          <w:jc w:val="center"/>
        </w:trPr>
        <w:tc>
          <w:tcPr>
            <w:tcW w:w="0" w:type="auto"/>
            <w:vAlign w:val="center"/>
          </w:tcPr>
          <w:p w:rsidR="005D04F6" w:rsidRPr="005D04F6" w:rsidRDefault="005D04F6" w:rsidP="00A14B33">
            <w:pPr>
              <w:tabs>
                <w:tab w:val="num" w:pos="540"/>
              </w:tabs>
              <w:jc w:val="both"/>
              <w:rPr>
                <w:rFonts w:ascii="Verdana" w:hAnsi="Verdana"/>
                <w:sz w:val="12"/>
                <w:szCs w:val="12"/>
                <w:lang w:val="en-GB"/>
              </w:rPr>
            </w:pPr>
            <w:r w:rsidRPr="005D04F6">
              <w:rPr>
                <w:rFonts w:ascii="Verdana" w:hAnsi="Verdana"/>
                <w:sz w:val="12"/>
                <w:szCs w:val="12"/>
                <w:lang w:val="en-GB"/>
              </w:rPr>
              <w:t>BANK_CONC</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br/>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br/>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br/>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0.0584</w:t>
            </w:r>
            <w:r w:rsidRPr="005D04F6">
              <w:rPr>
                <w:rFonts w:ascii="Verdana" w:hAnsi="Verdana"/>
                <w:sz w:val="12"/>
                <w:szCs w:val="12"/>
                <w:vertAlign w:val="superscript"/>
                <w:lang w:val="en-US"/>
              </w:rPr>
              <w:t>***</w:t>
            </w:r>
            <w:r w:rsidRPr="005D04F6">
              <w:rPr>
                <w:rFonts w:ascii="Verdana" w:hAnsi="Verdana"/>
                <w:sz w:val="12"/>
                <w:szCs w:val="12"/>
                <w:lang w:val="en-US"/>
              </w:rPr>
              <w:br/>
              <w:t>(4.69)</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br/>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0.0665</w:t>
            </w:r>
            <w:r w:rsidRPr="005D04F6">
              <w:rPr>
                <w:rFonts w:ascii="Verdana" w:hAnsi="Verdana"/>
                <w:sz w:val="12"/>
                <w:szCs w:val="12"/>
                <w:vertAlign w:val="superscript"/>
                <w:lang w:val="en-US"/>
              </w:rPr>
              <w:t>***</w:t>
            </w:r>
            <w:r w:rsidRPr="005D04F6">
              <w:rPr>
                <w:rFonts w:ascii="Verdana" w:hAnsi="Verdana"/>
                <w:sz w:val="12"/>
                <w:szCs w:val="12"/>
                <w:lang w:val="en-US"/>
              </w:rPr>
              <w:br/>
              <w:t>(5.30)</w:t>
            </w:r>
          </w:p>
        </w:tc>
        <w:tc>
          <w:tcPr>
            <w:tcW w:w="0" w:type="auto"/>
          </w:tcPr>
          <w:p w:rsidR="005D04F6" w:rsidRPr="005D04F6" w:rsidRDefault="005D04F6" w:rsidP="00CE4B7B">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0.1371</w:t>
            </w:r>
            <w:r w:rsidRPr="005D04F6">
              <w:rPr>
                <w:rFonts w:ascii="Verdana" w:hAnsi="Verdana"/>
                <w:sz w:val="12"/>
                <w:szCs w:val="12"/>
                <w:vertAlign w:val="superscript"/>
                <w:lang w:val="en-US"/>
              </w:rPr>
              <w:t>***</w:t>
            </w:r>
            <w:r w:rsidRPr="005D04F6">
              <w:rPr>
                <w:rFonts w:ascii="Verdana" w:hAnsi="Verdana"/>
                <w:sz w:val="12"/>
                <w:szCs w:val="12"/>
                <w:lang w:val="en-US"/>
              </w:rPr>
              <w:br/>
              <w:t>(3.33)</w:t>
            </w:r>
          </w:p>
        </w:tc>
      </w:tr>
      <w:tr w:rsidR="005D04F6" w:rsidRPr="002B2630" w:rsidTr="00CE4B7B">
        <w:trPr>
          <w:jc w:val="center"/>
        </w:trPr>
        <w:tc>
          <w:tcPr>
            <w:tcW w:w="0" w:type="auto"/>
            <w:vAlign w:val="center"/>
          </w:tcPr>
          <w:p w:rsidR="005D04F6" w:rsidRPr="005D04F6" w:rsidRDefault="005D04F6" w:rsidP="00A14B33">
            <w:pPr>
              <w:tabs>
                <w:tab w:val="num" w:pos="540"/>
              </w:tabs>
              <w:jc w:val="both"/>
              <w:rPr>
                <w:rFonts w:ascii="Verdana" w:hAnsi="Verdana"/>
                <w:sz w:val="12"/>
                <w:szCs w:val="12"/>
                <w:lang w:val="en-GB"/>
              </w:rPr>
            </w:pPr>
            <w:r w:rsidRPr="005D04F6">
              <w:rPr>
                <w:rFonts w:ascii="Verdana" w:hAnsi="Verdana"/>
                <w:sz w:val="12"/>
                <w:szCs w:val="12"/>
                <w:lang w:val="en-GB"/>
              </w:rPr>
              <w:t>BANK CREDIT</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br/>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br/>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br/>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br/>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-0.0255</w:t>
            </w:r>
            <w:r w:rsidRPr="005D04F6">
              <w:rPr>
                <w:rFonts w:ascii="Verdana" w:hAnsi="Verdana"/>
                <w:sz w:val="12"/>
                <w:szCs w:val="12"/>
                <w:vertAlign w:val="superscript"/>
                <w:lang w:val="en-US"/>
              </w:rPr>
              <w:t>***</w:t>
            </w:r>
            <w:r w:rsidRPr="005D04F6">
              <w:rPr>
                <w:rFonts w:ascii="Verdana" w:hAnsi="Verdana"/>
                <w:sz w:val="12"/>
                <w:szCs w:val="12"/>
                <w:lang w:val="en-US"/>
              </w:rPr>
              <w:br/>
              <w:t>(-3.31)</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-0.0350</w:t>
            </w:r>
            <w:r w:rsidRPr="005D04F6">
              <w:rPr>
                <w:rFonts w:ascii="Verdana" w:hAnsi="Verdana"/>
                <w:sz w:val="12"/>
                <w:szCs w:val="12"/>
                <w:vertAlign w:val="superscript"/>
                <w:lang w:val="en-US"/>
              </w:rPr>
              <w:t>***</w:t>
            </w:r>
            <w:r w:rsidRPr="005D04F6">
              <w:rPr>
                <w:rFonts w:ascii="Verdana" w:hAnsi="Verdana"/>
                <w:sz w:val="12"/>
                <w:szCs w:val="12"/>
                <w:lang w:val="en-US"/>
              </w:rPr>
              <w:br/>
              <w:t>(-4.39)</w:t>
            </w:r>
          </w:p>
        </w:tc>
        <w:tc>
          <w:tcPr>
            <w:tcW w:w="0" w:type="auto"/>
          </w:tcPr>
          <w:p w:rsidR="005D04F6" w:rsidRPr="005D04F6" w:rsidRDefault="005D04F6" w:rsidP="00CE4B7B">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-0.1573</w:t>
            </w:r>
            <w:r w:rsidRPr="005D04F6">
              <w:rPr>
                <w:rFonts w:ascii="Verdana" w:hAnsi="Verdana"/>
                <w:sz w:val="12"/>
                <w:szCs w:val="12"/>
                <w:vertAlign w:val="superscript"/>
                <w:lang w:val="en-US"/>
              </w:rPr>
              <w:t>***</w:t>
            </w:r>
            <w:r w:rsidRPr="005D04F6">
              <w:rPr>
                <w:rFonts w:ascii="Verdana" w:hAnsi="Verdana"/>
                <w:sz w:val="12"/>
                <w:szCs w:val="12"/>
                <w:lang w:val="en-US"/>
              </w:rPr>
              <w:br/>
              <w:t>(-7.16)</w:t>
            </w:r>
          </w:p>
        </w:tc>
      </w:tr>
      <w:tr w:rsidR="005D04F6" w:rsidRPr="005D04F6" w:rsidTr="00CE4B7B">
        <w:trPr>
          <w:jc w:val="center"/>
        </w:trPr>
        <w:tc>
          <w:tcPr>
            <w:tcW w:w="0" w:type="auto"/>
            <w:vAlign w:val="center"/>
          </w:tcPr>
          <w:p w:rsidR="005D04F6" w:rsidRPr="005D04F6" w:rsidRDefault="005D04F6" w:rsidP="00CE4B7B">
            <w:pPr>
              <w:tabs>
                <w:tab w:val="num" w:pos="540"/>
              </w:tabs>
              <w:jc w:val="both"/>
              <w:rPr>
                <w:rFonts w:ascii="Verdana" w:hAnsi="Verdana"/>
                <w:sz w:val="12"/>
                <w:szCs w:val="12"/>
                <w:lang w:val="en-GB"/>
              </w:rPr>
            </w:pPr>
            <w:r w:rsidRPr="005D04F6">
              <w:rPr>
                <w:rFonts w:ascii="Verdana" w:hAnsi="Verdana"/>
                <w:sz w:val="12"/>
                <w:szCs w:val="12"/>
                <w:lang w:val="en-GB"/>
              </w:rPr>
              <w:t xml:space="preserve">RULE_OF_LAW*BANK_CONC </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CE4B7B">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-0.1250</w:t>
            </w:r>
            <w:r w:rsidRPr="005D04F6">
              <w:rPr>
                <w:rFonts w:ascii="Verdana" w:hAnsi="Verdana"/>
                <w:sz w:val="12"/>
                <w:szCs w:val="12"/>
                <w:vertAlign w:val="superscript"/>
                <w:lang w:val="en-US"/>
              </w:rPr>
              <w:t>***</w:t>
            </w:r>
            <w:r w:rsidRPr="005D04F6">
              <w:rPr>
                <w:rFonts w:ascii="Verdana" w:hAnsi="Verdana"/>
                <w:sz w:val="12"/>
                <w:szCs w:val="12"/>
                <w:lang w:val="en-US"/>
              </w:rPr>
              <w:br/>
              <w:t>(-5.99)</w:t>
            </w:r>
          </w:p>
        </w:tc>
      </w:tr>
      <w:tr w:rsidR="005D04F6" w:rsidRPr="005D04F6" w:rsidTr="00CE4B7B">
        <w:trPr>
          <w:jc w:val="center"/>
        </w:trPr>
        <w:tc>
          <w:tcPr>
            <w:tcW w:w="0" w:type="auto"/>
            <w:vAlign w:val="center"/>
          </w:tcPr>
          <w:p w:rsidR="005D04F6" w:rsidRPr="005D04F6" w:rsidRDefault="005D04F6" w:rsidP="00CE4B7B">
            <w:pPr>
              <w:tabs>
                <w:tab w:val="num" w:pos="540"/>
              </w:tabs>
              <w:jc w:val="both"/>
              <w:rPr>
                <w:rFonts w:ascii="Verdana" w:hAnsi="Verdana"/>
                <w:sz w:val="12"/>
                <w:szCs w:val="12"/>
                <w:lang w:val="en-GB"/>
              </w:rPr>
            </w:pPr>
            <w:r w:rsidRPr="005D04F6">
              <w:rPr>
                <w:rFonts w:ascii="Verdana" w:hAnsi="Verdana"/>
                <w:sz w:val="12"/>
                <w:szCs w:val="12"/>
                <w:lang w:val="en-GB"/>
              </w:rPr>
              <w:t>RULE_OF_LAW*BANK_CREDIT</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CE4B7B">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0.0524***</w:t>
            </w:r>
          </w:p>
          <w:p w:rsidR="005D04F6" w:rsidRPr="005D04F6" w:rsidRDefault="005D04F6" w:rsidP="00CE4B7B">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(4.49)</w:t>
            </w:r>
          </w:p>
        </w:tc>
      </w:tr>
      <w:tr w:rsidR="005D04F6" w:rsidRPr="002B2630" w:rsidTr="00CE4B7B">
        <w:trPr>
          <w:jc w:val="center"/>
        </w:trPr>
        <w:tc>
          <w:tcPr>
            <w:tcW w:w="0" w:type="auto"/>
            <w:vAlign w:val="center"/>
          </w:tcPr>
          <w:p w:rsidR="005D04F6" w:rsidRPr="005D04F6" w:rsidRDefault="005D04F6" w:rsidP="00CE4B7B">
            <w:pPr>
              <w:tabs>
                <w:tab w:val="num" w:pos="540"/>
              </w:tabs>
              <w:jc w:val="both"/>
              <w:rPr>
                <w:rFonts w:ascii="Verdana" w:hAnsi="Verdana"/>
                <w:sz w:val="12"/>
                <w:szCs w:val="12"/>
                <w:lang w:val="en-GB"/>
              </w:rPr>
            </w:pPr>
            <w:r w:rsidRPr="005D04F6">
              <w:rPr>
                <w:rFonts w:ascii="Verdana" w:hAnsi="Verdana"/>
                <w:sz w:val="12"/>
                <w:szCs w:val="12"/>
                <w:lang w:val="en-GB"/>
              </w:rPr>
              <w:t>C_RIGHTS*BANK_CONC</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CE4B7B">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0.0227</w:t>
            </w:r>
            <w:r w:rsidRPr="005D04F6">
              <w:rPr>
                <w:rFonts w:ascii="Verdana" w:hAnsi="Verdana"/>
                <w:sz w:val="12"/>
                <w:szCs w:val="12"/>
                <w:vertAlign w:val="superscript"/>
                <w:lang w:val="en-US"/>
              </w:rPr>
              <w:t>*</w:t>
            </w:r>
            <w:r w:rsidRPr="005D04F6">
              <w:rPr>
                <w:rFonts w:ascii="Verdana" w:hAnsi="Verdana"/>
                <w:sz w:val="12"/>
                <w:szCs w:val="12"/>
                <w:lang w:val="en-US"/>
              </w:rPr>
              <w:br/>
              <w:t>(1.76)</w:t>
            </w:r>
          </w:p>
        </w:tc>
      </w:tr>
      <w:tr w:rsidR="005D04F6" w:rsidRPr="002B2630" w:rsidTr="00CE4B7B">
        <w:trPr>
          <w:jc w:val="center"/>
        </w:trPr>
        <w:tc>
          <w:tcPr>
            <w:tcW w:w="0" w:type="auto"/>
            <w:vAlign w:val="center"/>
          </w:tcPr>
          <w:p w:rsidR="005D04F6" w:rsidRPr="005D04F6" w:rsidRDefault="005D04F6" w:rsidP="00CE4B7B">
            <w:pPr>
              <w:tabs>
                <w:tab w:val="num" w:pos="540"/>
              </w:tabs>
              <w:jc w:val="both"/>
              <w:rPr>
                <w:rFonts w:ascii="Verdana" w:hAnsi="Verdana"/>
                <w:sz w:val="12"/>
                <w:szCs w:val="12"/>
                <w:lang w:val="en-GB"/>
              </w:rPr>
            </w:pPr>
            <w:r w:rsidRPr="005D04F6">
              <w:rPr>
                <w:rFonts w:ascii="Verdana" w:hAnsi="Verdana"/>
                <w:sz w:val="12"/>
                <w:szCs w:val="12"/>
                <w:lang w:val="en-GB"/>
              </w:rPr>
              <w:t>C_RIGHTS*BANK_CREDIT</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p>
        </w:tc>
        <w:tc>
          <w:tcPr>
            <w:tcW w:w="0" w:type="auto"/>
          </w:tcPr>
          <w:p w:rsidR="005D04F6" w:rsidRPr="005D04F6" w:rsidRDefault="005D04F6" w:rsidP="00CE4B7B">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0.0161</w:t>
            </w:r>
            <w:r w:rsidRPr="005D04F6">
              <w:rPr>
                <w:rFonts w:ascii="Verdana" w:hAnsi="Verdana"/>
                <w:sz w:val="12"/>
                <w:szCs w:val="12"/>
                <w:vertAlign w:val="superscript"/>
                <w:lang w:val="en-US"/>
              </w:rPr>
              <w:t>**</w:t>
            </w:r>
            <w:r w:rsidRPr="005D04F6">
              <w:rPr>
                <w:rFonts w:ascii="Verdana" w:hAnsi="Verdana"/>
                <w:sz w:val="12"/>
                <w:szCs w:val="12"/>
                <w:lang w:val="en-US"/>
              </w:rPr>
              <w:br/>
              <w:t>(2.56)</w:t>
            </w:r>
          </w:p>
        </w:tc>
      </w:tr>
      <w:tr w:rsidR="005D04F6" w:rsidRPr="002B2630" w:rsidTr="005D04F6">
        <w:trPr>
          <w:jc w:val="center"/>
        </w:trPr>
        <w:tc>
          <w:tcPr>
            <w:tcW w:w="0" w:type="auto"/>
            <w:tcBorders>
              <w:top w:val="single" w:sz="4" w:space="0" w:color="auto"/>
            </w:tcBorders>
            <w:vAlign w:val="center"/>
          </w:tcPr>
          <w:p w:rsidR="005D04F6" w:rsidRPr="005D04F6" w:rsidRDefault="005D04F6" w:rsidP="00A14B33">
            <w:pPr>
              <w:tabs>
                <w:tab w:val="num" w:pos="540"/>
              </w:tabs>
              <w:jc w:val="both"/>
              <w:rPr>
                <w:rFonts w:ascii="Verdana" w:hAnsi="Verdana"/>
                <w:sz w:val="12"/>
                <w:szCs w:val="12"/>
                <w:lang w:val="en-GB"/>
              </w:rPr>
            </w:pPr>
            <w:r w:rsidRPr="005D04F6">
              <w:rPr>
                <w:rFonts w:ascii="Verdana" w:hAnsi="Verdana"/>
                <w:sz w:val="12"/>
                <w:szCs w:val="12"/>
                <w:lang w:val="en-GB"/>
              </w:rPr>
              <w:t>Hausman test</w:t>
            </w:r>
          </w:p>
        </w:tc>
        <w:tc>
          <w:tcPr>
            <w:tcW w:w="0" w:type="auto"/>
            <w:tcBorders>
              <w:top w:val="single" w:sz="4" w:space="0" w:color="auto"/>
            </w:tcBorders>
            <w:vAlign w:val="center"/>
          </w:tcPr>
          <w:p w:rsidR="005D04F6" w:rsidRPr="005D04F6" w:rsidRDefault="005D04F6" w:rsidP="00A14B33">
            <w:pPr>
              <w:tabs>
                <w:tab w:val="num" w:pos="540"/>
              </w:tabs>
              <w:jc w:val="center"/>
              <w:rPr>
                <w:rFonts w:ascii="Verdana" w:hAnsi="Verdana"/>
                <w:sz w:val="12"/>
                <w:szCs w:val="12"/>
                <w:lang w:val="en-GB"/>
              </w:rPr>
            </w:pPr>
            <w:r w:rsidRPr="005D04F6">
              <w:rPr>
                <w:rFonts w:ascii="Verdana" w:hAnsi="Verdana"/>
                <w:sz w:val="12"/>
                <w:szCs w:val="12"/>
                <w:lang w:val="en-GB"/>
              </w:rPr>
              <w:t>1,437.30***</w:t>
            </w:r>
          </w:p>
        </w:tc>
        <w:tc>
          <w:tcPr>
            <w:tcW w:w="0" w:type="auto"/>
            <w:tcBorders>
              <w:top w:val="single" w:sz="4" w:space="0" w:color="auto"/>
            </w:tcBorders>
            <w:vAlign w:val="center"/>
          </w:tcPr>
          <w:p w:rsidR="005D04F6" w:rsidRPr="005D04F6" w:rsidRDefault="005D04F6" w:rsidP="00A14B33">
            <w:pPr>
              <w:tabs>
                <w:tab w:val="num" w:pos="540"/>
              </w:tabs>
              <w:jc w:val="center"/>
              <w:rPr>
                <w:rFonts w:ascii="Verdana" w:hAnsi="Verdana"/>
                <w:sz w:val="12"/>
                <w:szCs w:val="12"/>
                <w:lang w:val="en-GB"/>
              </w:rPr>
            </w:pPr>
            <w:r w:rsidRPr="005D04F6">
              <w:rPr>
                <w:rFonts w:ascii="Verdana" w:hAnsi="Verdana"/>
                <w:sz w:val="12"/>
                <w:szCs w:val="12"/>
                <w:lang w:val="en-GB"/>
              </w:rPr>
              <w:t>1,418.08***</w:t>
            </w:r>
          </w:p>
        </w:tc>
        <w:tc>
          <w:tcPr>
            <w:tcW w:w="0" w:type="auto"/>
            <w:tcBorders>
              <w:top w:val="single" w:sz="4" w:space="0" w:color="auto"/>
            </w:tcBorders>
            <w:vAlign w:val="center"/>
          </w:tcPr>
          <w:p w:rsidR="005D04F6" w:rsidRPr="005D04F6" w:rsidRDefault="005D04F6" w:rsidP="00A14B33">
            <w:pPr>
              <w:tabs>
                <w:tab w:val="num" w:pos="540"/>
              </w:tabs>
              <w:jc w:val="center"/>
              <w:rPr>
                <w:rFonts w:ascii="Verdana" w:hAnsi="Verdana"/>
                <w:sz w:val="12"/>
                <w:szCs w:val="12"/>
                <w:lang w:val="en-GB"/>
              </w:rPr>
            </w:pPr>
            <w:r w:rsidRPr="005D04F6">
              <w:rPr>
                <w:rFonts w:ascii="Verdana" w:hAnsi="Verdana"/>
                <w:sz w:val="12"/>
                <w:szCs w:val="12"/>
                <w:lang w:val="en-GB"/>
              </w:rPr>
              <w:t>1,497.41***</w:t>
            </w:r>
          </w:p>
        </w:tc>
        <w:tc>
          <w:tcPr>
            <w:tcW w:w="0" w:type="auto"/>
            <w:tcBorders>
              <w:top w:val="single" w:sz="4" w:space="0" w:color="auto"/>
            </w:tcBorders>
            <w:vAlign w:val="center"/>
          </w:tcPr>
          <w:p w:rsidR="005D04F6" w:rsidRPr="005D04F6" w:rsidRDefault="005D04F6" w:rsidP="00A14B33">
            <w:pPr>
              <w:tabs>
                <w:tab w:val="num" w:pos="540"/>
              </w:tabs>
              <w:jc w:val="center"/>
              <w:rPr>
                <w:rFonts w:ascii="Verdana" w:hAnsi="Verdana"/>
                <w:sz w:val="12"/>
                <w:szCs w:val="12"/>
                <w:lang w:val="en-GB"/>
              </w:rPr>
            </w:pPr>
            <w:r w:rsidRPr="005D04F6">
              <w:rPr>
                <w:rFonts w:ascii="Verdana" w:hAnsi="Verdana"/>
                <w:sz w:val="12"/>
                <w:szCs w:val="12"/>
                <w:lang w:val="en-GB"/>
              </w:rPr>
              <w:t>1,402.40***</w:t>
            </w:r>
          </w:p>
        </w:tc>
        <w:tc>
          <w:tcPr>
            <w:tcW w:w="0" w:type="auto"/>
            <w:tcBorders>
              <w:top w:val="single" w:sz="4" w:space="0" w:color="auto"/>
            </w:tcBorders>
            <w:vAlign w:val="center"/>
          </w:tcPr>
          <w:p w:rsidR="005D04F6" w:rsidRPr="005D04F6" w:rsidRDefault="005D04F6" w:rsidP="00A14B33">
            <w:pPr>
              <w:tabs>
                <w:tab w:val="num" w:pos="540"/>
              </w:tabs>
              <w:jc w:val="center"/>
              <w:rPr>
                <w:rFonts w:ascii="Verdana" w:hAnsi="Verdana"/>
                <w:sz w:val="12"/>
                <w:szCs w:val="12"/>
                <w:lang w:val="en-GB"/>
              </w:rPr>
            </w:pPr>
            <w:r w:rsidRPr="005D04F6">
              <w:rPr>
                <w:rFonts w:ascii="Verdana" w:hAnsi="Verdana"/>
                <w:sz w:val="12"/>
                <w:szCs w:val="12"/>
                <w:lang w:val="en-GB"/>
              </w:rPr>
              <w:t>1,302.83***</w:t>
            </w:r>
          </w:p>
        </w:tc>
        <w:tc>
          <w:tcPr>
            <w:tcW w:w="0" w:type="auto"/>
            <w:tcBorders>
              <w:top w:val="single" w:sz="4" w:space="0" w:color="auto"/>
            </w:tcBorders>
            <w:vAlign w:val="center"/>
          </w:tcPr>
          <w:p w:rsidR="005D04F6" w:rsidRPr="005D04F6" w:rsidRDefault="005D04F6" w:rsidP="00A14B33">
            <w:pPr>
              <w:tabs>
                <w:tab w:val="num" w:pos="540"/>
              </w:tabs>
              <w:jc w:val="center"/>
              <w:rPr>
                <w:rFonts w:ascii="Verdana" w:hAnsi="Verdana"/>
                <w:sz w:val="12"/>
                <w:szCs w:val="12"/>
                <w:lang w:val="en-GB"/>
              </w:rPr>
            </w:pPr>
            <w:r w:rsidRPr="005D04F6">
              <w:rPr>
                <w:rFonts w:ascii="Verdana" w:hAnsi="Verdana"/>
                <w:sz w:val="12"/>
                <w:szCs w:val="12"/>
                <w:lang w:val="en-GB"/>
              </w:rPr>
              <w:t>1,433.73***</w:t>
            </w:r>
          </w:p>
        </w:tc>
        <w:tc>
          <w:tcPr>
            <w:tcW w:w="0" w:type="auto"/>
            <w:tcBorders>
              <w:top w:val="single" w:sz="4" w:space="0" w:color="auto"/>
            </w:tcBorders>
            <w:vAlign w:val="center"/>
          </w:tcPr>
          <w:p w:rsidR="005D04F6" w:rsidRPr="005D04F6" w:rsidRDefault="005D04F6" w:rsidP="00CE4B7B">
            <w:pPr>
              <w:tabs>
                <w:tab w:val="num" w:pos="540"/>
              </w:tabs>
              <w:jc w:val="center"/>
              <w:rPr>
                <w:rFonts w:ascii="Verdana" w:hAnsi="Verdana"/>
                <w:sz w:val="12"/>
                <w:szCs w:val="12"/>
                <w:lang w:val="en-GB"/>
              </w:rPr>
            </w:pPr>
            <w:r w:rsidRPr="005D04F6">
              <w:rPr>
                <w:rFonts w:ascii="Verdana" w:hAnsi="Verdana"/>
                <w:sz w:val="12"/>
                <w:szCs w:val="12"/>
                <w:lang w:val="en-GB"/>
              </w:rPr>
              <w:t>1,549.05***</w:t>
            </w:r>
          </w:p>
        </w:tc>
      </w:tr>
      <w:tr w:rsidR="005D04F6" w:rsidRPr="002B2630" w:rsidTr="005D04F6">
        <w:trPr>
          <w:jc w:val="center"/>
        </w:trPr>
        <w:tc>
          <w:tcPr>
            <w:tcW w:w="0" w:type="auto"/>
            <w:vAlign w:val="center"/>
          </w:tcPr>
          <w:p w:rsidR="005D04F6" w:rsidRPr="005D04F6" w:rsidRDefault="005D04F6" w:rsidP="00A14B33">
            <w:pPr>
              <w:tabs>
                <w:tab w:val="num" w:pos="540"/>
              </w:tabs>
              <w:jc w:val="both"/>
              <w:rPr>
                <w:rFonts w:ascii="Verdana" w:hAnsi="Verdana"/>
                <w:sz w:val="12"/>
                <w:szCs w:val="12"/>
                <w:lang w:val="en-GB"/>
              </w:rPr>
            </w:pPr>
            <w:r w:rsidRPr="005D04F6">
              <w:rPr>
                <w:rFonts w:ascii="Verdana" w:hAnsi="Verdana"/>
                <w:sz w:val="12"/>
                <w:szCs w:val="12"/>
                <w:lang w:val="en-GB"/>
              </w:rPr>
              <w:t>F test</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48.23***</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44.76***</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44.00***</w:t>
            </w:r>
          </w:p>
        </w:tc>
        <w:tc>
          <w:tcPr>
            <w:tcW w:w="0" w:type="auto"/>
          </w:tcPr>
          <w:p w:rsidR="005D04F6" w:rsidRPr="005D04F6" w:rsidRDefault="005D04F6" w:rsidP="00127E75">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42.46***</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44.88***</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36.74***</w:t>
            </w:r>
          </w:p>
        </w:tc>
        <w:tc>
          <w:tcPr>
            <w:tcW w:w="0" w:type="auto"/>
            <w:vAlign w:val="center"/>
          </w:tcPr>
          <w:p w:rsidR="005D04F6" w:rsidRPr="005D04F6" w:rsidRDefault="005D04F6" w:rsidP="00CE4B7B">
            <w:pPr>
              <w:tabs>
                <w:tab w:val="num" w:pos="540"/>
              </w:tabs>
              <w:jc w:val="center"/>
              <w:rPr>
                <w:rFonts w:ascii="Verdana" w:hAnsi="Verdana"/>
                <w:sz w:val="12"/>
                <w:szCs w:val="12"/>
                <w:lang w:val="en-GB"/>
              </w:rPr>
            </w:pPr>
            <w:r w:rsidRPr="005D04F6">
              <w:rPr>
                <w:rFonts w:ascii="Verdana" w:hAnsi="Verdana"/>
                <w:sz w:val="12"/>
                <w:szCs w:val="12"/>
                <w:lang w:val="en-GB"/>
              </w:rPr>
              <w:t>31.87***</w:t>
            </w:r>
          </w:p>
        </w:tc>
      </w:tr>
      <w:tr w:rsidR="005D04F6" w:rsidRPr="002B2630" w:rsidTr="005D04F6">
        <w:trPr>
          <w:jc w:val="center"/>
        </w:trPr>
        <w:tc>
          <w:tcPr>
            <w:tcW w:w="0" w:type="auto"/>
            <w:vAlign w:val="center"/>
          </w:tcPr>
          <w:p w:rsidR="005D04F6" w:rsidRPr="005D04F6" w:rsidRDefault="005D04F6" w:rsidP="00A14B33">
            <w:pPr>
              <w:tabs>
                <w:tab w:val="num" w:pos="540"/>
              </w:tabs>
              <w:jc w:val="both"/>
              <w:rPr>
                <w:rFonts w:ascii="Verdana" w:hAnsi="Verdana"/>
                <w:sz w:val="12"/>
                <w:szCs w:val="12"/>
                <w:lang w:val="en-GB"/>
              </w:rPr>
            </w:pPr>
            <w:r w:rsidRPr="005D04F6">
              <w:rPr>
                <w:rFonts w:ascii="Verdana" w:hAnsi="Verdana"/>
                <w:sz w:val="12"/>
                <w:szCs w:val="12"/>
                <w:lang w:val="en-GB"/>
              </w:rPr>
              <w:t># observations</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135,621</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135,621</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135,621</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129,281</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121,676</w:t>
            </w:r>
          </w:p>
        </w:tc>
        <w:tc>
          <w:tcPr>
            <w:tcW w:w="0" w:type="auto"/>
          </w:tcPr>
          <w:p w:rsidR="005D04F6" w:rsidRPr="005D04F6" w:rsidRDefault="005D04F6" w:rsidP="00971CC4">
            <w:pPr>
              <w:widowControl w:val="0"/>
              <w:autoSpaceDE w:val="0"/>
              <w:autoSpaceDN w:val="0"/>
              <w:adjustRightInd w:val="0"/>
              <w:jc w:val="center"/>
              <w:rPr>
                <w:rFonts w:ascii="Verdana" w:hAnsi="Verdana"/>
                <w:sz w:val="12"/>
                <w:szCs w:val="12"/>
                <w:lang w:val="en-US"/>
              </w:rPr>
            </w:pPr>
            <w:r w:rsidRPr="005D04F6">
              <w:rPr>
                <w:rFonts w:ascii="Verdana" w:hAnsi="Verdana"/>
                <w:sz w:val="12"/>
                <w:szCs w:val="12"/>
                <w:lang w:val="en-US"/>
              </w:rPr>
              <w:t>118,434</w:t>
            </w:r>
          </w:p>
        </w:tc>
        <w:tc>
          <w:tcPr>
            <w:tcW w:w="0" w:type="auto"/>
            <w:vAlign w:val="center"/>
          </w:tcPr>
          <w:p w:rsidR="005D04F6" w:rsidRPr="005D04F6" w:rsidRDefault="005D04F6" w:rsidP="00CE4B7B">
            <w:pPr>
              <w:tabs>
                <w:tab w:val="num" w:pos="540"/>
              </w:tabs>
              <w:jc w:val="center"/>
              <w:rPr>
                <w:rFonts w:ascii="Verdana" w:hAnsi="Verdana"/>
                <w:sz w:val="12"/>
                <w:szCs w:val="12"/>
                <w:lang w:val="en-GB"/>
              </w:rPr>
            </w:pPr>
            <w:r w:rsidRPr="005D04F6">
              <w:rPr>
                <w:rFonts w:ascii="Verdana" w:hAnsi="Verdana"/>
                <w:sz w:val="12"/>
                <w:szCs w:val="12"/>
                <w:lang w:val="en-GB"/>
              </w:rPr>
              <w:t>118,434</w:t>
            </w:r>
          </w:p>
        </w:tc>
      </w:tr>
      <w:tr w:rsidR="005D04F6" w:rsidRPr="002B2630" w:rsidTr="00D474E2">
        <w:trPr>
          <w:jc w:val="center"/>
        </w:trPr>
        <w:tc>
          <w:tcPr>
            <w:tcW w:w="0" w:type="auto"/>
            <w:vAlign w:val="center"/>
          </w:tcPr>
          <w:p w:rsidR="005D04F6" w:rsidRPr="005D04F6" w:rsidRDefault="005D04F6" w:rsidP="00A14B33">
            <w:pPr>
              <w:tabs>
                <w:tab w:val="num" w:pos="540"/>
              </w:tabs>
              <w:jc w:val="both"/>
              <w:rPr>
                <w:rFonts w:ascii="Verdana" w:hAnsi="Verdana"/>
                <w:sz w:val="12"/>
                <w:szCs w:val="12"/>
                <w:lang w:val="en-GB"/>
              </w:rPr>
            </w:pPr>
            <w:r w:rsidRPr="005D04F6">
              <w:rPr>
                <w:rFonts w:ascii="Verdana" w:hAnsi="Verdana"/>
                <w:sz w:val="12"/>
                <w:szCs w:val="12"/>
                <w:lang w:val="en-GB"/>
              </w:rPr>
              <w:t># firms</w:t>
            </w:r>
          </w:p>
        </w:tc>
        <w:tc>
          <w:tcPr>
            <w:tcW w:w="0" w:type="auto"/>
            <w:vAlign w:val="center"/>
          </w:tcPr>
          <w:p w:rsidR="005D04F6" w:rsidRPr="005D04F6" w:rsidRDefault="005D04F6" w:rsidP="00A14B33">
            <w:pPr>
              <w:tabs>
                <w:tab w:val="num" w:pos="540"/>
              </w:tabs>
              <w:jc w:val="center"/>
              <w:rPr>
                <w:rFonts w:ascii="Verdana" w:hAnsi="Verdana"/>
                <w:sz w:val="12"/>
                <w:szCs w:val="12"/>
                <w:lang w:val="en-GB"/>
              </w:rPr>
            </w:pPr>
            <w:r w:rsidRPr="005D04F6">
              <w:rPr>
                <w:rFonts w:ascii="Verdana" w:hAnsi="Verdana"/>
                <w:sz w:val="12"/>
                <w:szCs w:val="12"/>
                <w:lang w:val="en-GB"/>
              </w:rPr>
              <w:t>27,881</w:t>
            </w:r>
          </w:p>
        </w:tc>
        <w:tc>
          <w:tcPr>
            <w:tcW w:w="0" w:type="auto"/>
            <w:vAlign w:val="center"/>
          </w:tcPr>
          <w:p w:rsidR="005D04F6" w:rsidRPr="005D04F6" w:rsidRDefault="005D04F6" w:rsidP="00A14B33">
            <w:pPr>
              <w:tabs>
                <w:tab w:val="num" w:pos="540"/>
              </w:tabs>
              <w:jc w:val="center"/>
              <w:rPr>
                <w:rFonts w:ascii="Verdana" w:hAnsi="Verdana"/>
                <w:sz w:val="12"/>
                <w:szCs w:val="12"/>
                <w:lang w:val="en-GB"/>
              </w:rPr>
            </w:pPr>
            <w:r w:rsidRPr="005D04F6">
              <w:rPr>
                <w:rFonts w:ascii="Verdana" w:hAnsi="Verdana"/>
                <w:sz w:val="12"/>
                <w:szCs w:val="12"/>
                <w:lang w:val="en-GB"/>
              </w:rPr>
              <w:t>27,881</w:t>
            </w:r>
          </w:p>
        </w:tc>
        <w:tc>
          <w:tcPr>
            <w:tcW w:w="0" w:type="auto"/>
            <w:vAlign w:val="center"/>
          </w:tcPr>
          <w:p w:rsidR="005D04F6" w:rsidRPr="005D04F6" w:rsidRDefault="005D04F6" w:rsidP="00A14B33">
            <w:pPr>
              <w:tabs>
                <w:tab w:val="num" w:pos="540"/>
              </w:tabs>
              <w:jc w:val="center"/>
              <w:rPr>
                <w:rFonts w:ascii="Verdana" w:hAnsi="Verdana"/>
                <w:sz w:val="12"/>
                <w:szCs w:val="12"/>
                <w:lang w:val="en-GB"/>
              </w:rPr>
            </w:pPr>
            <w:r w:rsidRPr="005D04F6">
              <w:rPr>
                <w:rFonts w:ascii="Verdana" w:hAnsi="Verdana"/>
                <w:sz w:val="12"/>
                <w:szCs w:val="12"/>
                <w:lang w:val="en-GB"/>
              </w:rPr>
              <w:t>27,881</w:t>
            </w:r>
          </w:p>
        </w:tc>
        <w:tc>
          <w:tcPr>
            <w:tcW w:w="0" w:type="auto"/>
            <w:vAlign w:val="center"/>
          </w:tcPr>
          <w:p w:rsidR="005D04F6" w:rsidRPr="005D04F6" w:rsidRDefault="005D04F6" w:rsidP="00A14B33">
            <w:pPr>
              <w:tabs>
                <w:tab w:val="num" w:pos="540"/>
              </w:tabs>
              <w:jc w:val="center"/>
              <w:rPr>
                <w:rFonts w:ascii="Verdana" w:hAnsi="Verdana"/>
                <w:sz w:val="12"/>
                <w:szCs w:val="12"/>
                <w:lang w:val="en-GB"/>
              </w:rPr>
            </w:pPr>
            <w:r w:rsidRPr="005D04F6">
              <w:rPr>
                <w:rFonts w:ascii="Verdana" w:hAnsi="Verdana"/>
                <w:sz w:val="12"/>
                <w:szCs w:val="12"/>
                <w:lang w:val="en-GB"/>
              </w:rPr>
              <w:t>25,221</w:t>
            </w:r>
          </w:p>
        </w:tc>
        <w:tc>
          <w:tcPr>
            <w:tcW w:w="0" w:type="auto"/>
            <w:vAlign w:val="center"/>
          </w:tcPr>
          <w:p w:rsidR="005D04F6" w:rsidRPr="005D04F6" w:rsidRDefault="005D04F6" w:rsidP="00A14B33">
            <w:pPr>
              <w:tabs>
                <w:tab w:val="num" w:pos="540"/>
              </w:tabs>
              <w:jc w:val="center"/>
              <w:rPr>
                <w:rFonts w:ascii="Verdana" w:hAnsi="Verdana"/>
                <w:sz w:val="12"/>
                <w:szCs w:val="12"/>
                <w:lang w:val="en-GB"/>
              </w:rPr>
            </w:pPr>
            <w:r w:rsidRPr="005D04F6">
              <w:rPr>
                <w:rFonts w:ascii="Verdana" w:hAnsi="Verdana"/>
                <w:sz w:val="12"/>
                <w:szCs w:val="12"/>
                <w:lang w:val="en-GB"/>
              </w:rPr>
              <w:t>25,365</w:t>
            </w:r>
          </w:p>
        </w:tc>
        <w:tc>
          <w:tcPr>
            <w:tcW w:w="0" w:type="auto"/>
            <w:vAlign w:val="center"/>
          </w:tcPr>
          <w:p w:rsidR="005D04F6" w:rsidRPr="005D04F6" w:rsidRDefault="005D04F6" w:rsidP="00A14B33">
            <w:pPr>
              <w:tabs>
                <w:tab w:val="num" w:pos="540"/>
              </w:tabs>
              <w:jc w:val="center"/>
              <w:rPr>
                <w:rFonts w:ascii="Verdana" w:hAnsi="Verdana"/>
                <w:sz w:val="12"/>
                <w:szCs w:val="12"/>
                <w:lang w:val="en-GB"/>
              </w:rPr>
            </w:pPr>
            <w:r w:rsidRPr="005D04F6">
              <w:rPr>
                <w:rFonts w:ascii="Verdana" w:hAnsi="Verdana"/>
                <w:sz w:val="12"/>
                <w:szCs w:val="12"/>
                <w:lang w:val="en-GB"/>
              </w:rPr>
              <w:t>25,221</w:t>
            </w:r>
          </w:p>
        </w:tc>
        <w:tc>
          <w:tcPr>
            <w:tcW w:w="0" w:type="auto"/>
            <w:vAlign w:val="center"/>
          </w:tcPr>
          <w:p w:rsidR="005D04F6" w:rsidRPr="005D04F6" w:rsidRDefault="005D04F6" w:rsidP="00CE4B7B">
            <w:pPr>
              <w:tabs>
                <w:tab w:val="num" w:pos="540"/>
              </w:tabs>
              <w:jc w:val="center"/>
              <w:rPr>
                <w:rFonts w:ascii="Verdana" w:hAnsi="Verdana"/>
                <w:sz w:val="12"/>
                <w:szCs w:val="12"/>
                <w:lang w:val="en-GB"/>
              </w:rPr>
            </w:pPr>
            <w:r w:rsidRPr="005D04F6">
              <w:rPr>
                <w:rFonts w:ascii="Verdana" w:hAnsi="Verdana"/>
                <w:sz w:val="12"/>
                <w:szCs w:val="12"/>
                <w:lang w:val="en-GB"/>
              </w:rPr>
              <w:t>25,221</w:t>
            </w:r>
          </w:p>
        </w:tc>
      </w:tr>
      <w:tr w:rsidR="00D474E2" w:rsidRPr="002B2630" w:rsidTr="005D04F6">
        <w:trPr>
          <w:jc w:val="center"/>
        </w:trPr>
        <w:tc>
          <w:tcPr>
            <w:tcW w:w="0" w:type="auto"/>
            <w:tcBorders>
              <w:bottom w:val="double" w:sz="4" w:space="0" w:color="auto"/>
            </w:tcBorders>
            <w:vAlign w:val="center"/>
          </w:tcPr>
          <w:p w:rsidR="00D474E2" w:rsidRPr="005D04F6" w:rsidRDefault="00D474E2" w:rsidP="00A14B33">
            <w:pPr>
              <w:tabs>
                <w:tab w:val="num" w:pos="540"/>
              </w:tabs>
              <w:jc w:val="both"/>
              <w:rPr>
                <w:rFonts w:ascii="Verdana" w:hAnsi="Verdana"/>
                <w:sz w:val="12"/>
                <w:szCs w:val="12"/>
                <w:lang w:val="en-GB"/>
              </w:rPr>
            </w:pPr>
            <w:r>
              <w:rPr>
                <w:rFonts w:ascii="Verdana" w:hAnsi="Verdana"/>
                <w:sz w:val="12"/>
                <w:szCs w:val="12"/>
                <w:lang w:val="en-GB"/>
              </w:rPr>
              <w:t>Durbin-Wu-Hausman test</w:t>
            </w:r>
          </w:p>
        </w:tc>
        <w:tc>
          <w:tcPr>
            <w:tcW w:w="0" w:type="auto"/>
            <w:tcBorders>
              <w:bottom w:val="double" w:sz="4" w:space="0" w:color="auto"/>
            </w:tcBorders>
            <w:vAlign w:val="center"/>
          </w:tcPr>
          <w:p w:rsidR="00D474E2" w:rsidRPr="005D04F6" w:rsidRDefault="007064C1" w:rsidP="00A14B33">
            <w:pPr>
              <w:tabs>
                <w:tab w:val="num" w:pos="540"/>
              </w:tabs>
              <w:jc w:val="center"/>
              <w:rPr>
                <w:rFonts w:ascii="Verdana" w:hAnsi="Verdana"/>
                <w:sz w:val="12"/>
                <w:szCs w:val="12"/>
                <w:lang w:val="en-GB"/>
              </w:rPr>
            </w:pPr>
            <w:r>
              <w:rPr>
                <w:rFonts w:ascii="Verdana" w:hAnsi="Verdana"/>
                <w:sz w:val="12"/>
                <w:szCs w:val="12"/>
                <w:lang w:val="en-GB"/>
              </w:rPr>
              <w:t>1.11</w:t>
            </w:r>
          </w:p>
        </w:tc>
        <w:tc>
          <w:tcPr>
            <w:tcW w:w="0" w:type="auto"/>
            <w:tcBorders>
              <w:bottom w:val="double" w:sz="4" w:space="0" w:color="auto"/>
            </w:tcBorders>
            <w:vAlign w:val="center"/>
          </w:tcPr>
          <w:p w:rsidR="00D474E2" w:rsidRPr="005D04F6" w:rsidRDefault="007064C1" w:rsidP="00A14B33">
            <w:pPr>
              <w:tabs>
                <w:tab w:val="num" w:pos="540"/>
              </w:tabs>
              <w:jc w:val="center"/>
              <w:rPr>
                <w:rFonts w:ascii="Verdana" w:hAnsi="Verdana"/>
                <w:sz w:val="12"/>
                <w:szCs w:val="12"/>
                <w:lang w:val="en-GB"/>
              </w:rPr>
            </w:pPr>
            <w:r>
              <w:rPr>
                <w:rFonts w:ascii="Verdana" w:hAnsi="Verdana"/>
                <w:sz w:val="12"/>
                <w:szCs w:val="12"/>
                <w:lang w:val="en-GB"/>
              </w:rPr>
              <w:t>1.11</w:t>
            </w:r>
          </w:p>
        </w:tc>
        <w:tc>
          <w:tcPr>
            <w:tcW w:w="0" w:type="auto"/>
            <w:tcBorders>
              <w:bottom w:val="double" w:sz="4" w:space="0" w:color="auto"/>
            </w:tcBorders>
            <w:vAlign w:val="center"/>
          </w:tcPr>
          <w:p w:rsidR="00D474E2" w:rsidRPr="005D04F6" w:rsidRDefault="007064C1" w:rsidP="00A14B33">
            <w:pPr>
              <w:tabs>
                <w:tab w:val="num" w:pos="540"/>
              </w:tabs>
              <w:jc w:val="center"/>
              <w:rPr>
                <w:rFonts w:ascii="Verdana" w:hAnsi="Verdana"/>
                <w:sz w:val="12"/>
                <w:szCs w:val="12"/>
                <w:lang w:val="en-GB"/>
              </w:rPr>
            </w:pPr>
            <w:r>
              <w:rPr>
                <w:rFonts w:ascii="Verdana" w:hAnsi="Verdana"/>
                <w:sz w:val="12"/>
                <w:szCs w:val="12"/>
                <w:lang w:val="en-GB"/>
              </w:rPr>
              <w:t>1.09</w:t>
            </w:r>
          </w:p>
        </w:tc>
        <w:tc>
          <w:tcPr>
            <w:tcW w:w="0" w:type="auto"/>
            <w:tcBorders>
              <w:bottom w:val="double" w:sz="4" w:space="0" w:color="auto"/>
            </w:tcBorders>
            <w:vAlign w:val="center"/>
          </w:tcPr>
          <w:p w:rsidR="00D474E2" w:rsidRPr="005D04F6" w:rsidRDefault="007064C1" w:rsidP="00A14B33">
            <w:pPr>
              <w:tabs>
                <w:tab w:val="num" w:pos="540"/>
              </w:tabs>
              <w:jc w:val="center"/>
              <w:rPr>
                <w:rFonts w:ascii="Verdana" w:hAnsi="Verdana"/>
                <w:sz w:val="12"/>
                <w:szCs w:val="12"/>
                <w:lang w:val="en-GB"/>
              </w:rPr>
            </w:pPr>
            <w:r>
              <w:rPr>
                <w:rFonts w:ascii="Verdana" w:hAnsi="Verdana"/>
                <w:sz w:val="12"/>
                <w:szCs w:val="12"/>
                <w:lang w:val="en-GB"/>
              </w:rPr>
              <w:t>1.14</w:t>
            </w:r>
          </w:p>
        </w:tc>
        <w:tc>
          <w:tcPr>
            <w:tcW w:w="0" w:type="auto"/>
            <w:tcBorders>
              <w:bottom w:val="double" w:sz="4" w:space="0" w:color="auto"/>
            </w:tcBorders>
            <w:vAlign w:val="center"/>
          </w:tcPr>
          <w:p w:rsidR="00D474E2" w:rsidRPr="005D04F6" w:rsidRDefault="007064C1" w:rsidP="00A14B33">
            <w:pPr>
              <w:tabs>
                <w:tab w:val="num" w:pos="540"/>
              </w:tabs>
              <w:jc w:val="center"/>
              <w:rPr>
                <w:rFonts w:ascii="Verdana" w:hAnsi="Verdana"/>
                <w:sz w:val="12"/>
                <w:szCs w:val="12"/>
                <w:lang w:val="en-GB"/>
              </w:rPr>
            </w:pPr>
            <w:r>
              <w:rPr>
                <w:rFonts w:ascii="Verdana" w:hAnsi="Verdana"/>
                <w:sz w:val="12"/>
                <w:szCs w:val="12"/>
                <w:lang w:val="en-GB"/>
              </w:rPr>
              <w:t>1.16</w:t>
            </w:r>
          </w:p>
        </w:tc>
        <w:tc>
          <w:tcPr>
            <w:tcW w:w="0" w:type="auto"/>
            <w:tcBorders>
              <w:bottom w:val="double" w:sz="4" w:space="0" w:color="auto"/>
            </w:tcBorders>
            <w:vAlign w:val="center"/>
          </w:tcPr>
          <w:p w:rsidR="00D474E2" w:rsidRPr="005D04F6" w:rsidRDefault="007064C1" w:rsidP="00A14B33">
            <w:pPr>
              <w:tabs>
                <w:tab w:val="num" w:pos="540"/>
              </w:tabs>
              <w:jc w:val="center"/>
              <w:rPr>
                <w:rFonts w:ascii="Verdana" w:hAnsi="Verdana"/>
                <w:sz w:val="12"/>
                <w:szCs w:val="12"/>
                <w:lang w:val="en-GB"/>
              </w:rPr>
            </w:pPr>
            <w:r>
              <w:rPr>
                <w:rFonts w:ascii="Verdana" w:hAnsi="Verdana"/>
                <w:sz w:val="12"/>
                <w:szCs w:val="12"/>
                <w:lang w:val="en-GB"/>
              </w:rPr>
              <w:t>1.17</w:t>
            </w:r>
          </w:p>
        </w:tc>
        <w:tc>
          <w:tcPr>
            <w:tcW w:w="0" w:type="auto"/>
            <w:tcBorders>
              <w:bottom w:val="double" w:sz="4" w:space="0" w:color="auto"/>
            </w:tcBorders>
            <w:vAlign w:val="center"/>
          </w:tcPr>
          <w:p w:rsidR="00D474E2" w:rsidRPr="005D04F6" w:rsidRDefault="007064C1" w:rsidP="00CE4B7B">
            <w:pPr>
              <w:tabs>
                <w:tab w:val="num" w:pos="540"/>
              </w:tabs>
              <w:jc w:val="center"/>
              <w:rPr>
                <w:rFonts w:ascii="Verdana" w:hAnsi="Verdana"/>
                <w:sz w:val="12"/>
                <w:szCs w:val="12"/>
                <w:lang w:val="en-GB"/>
              </w:rPr>
            </w:pPr>
            <w:r>
              <w:rPr>
                <w:rFonts w:ascii="Verdana" w:hAnsi="Verdana"/>
                <w:sz w:val="12"/>
                <w:szCs w:val="12"/>
                <w:lang w:val="en-GB"/>
              </w:rPr>
              <w:t>1.15</w:t>
            </w:r>
          </w:p>
        </w:tc>
      </w:tr>
    </w:tbl>
    <w:p w:rsidR="00F90DA0" w:rsidRPr="002B2630" w:rsidRDefault="00F90DA0" w:rsidP="00F90DA0">
      <w:pPr>
        <w:rPr>
          <w:lang w:val="en-GB"/>
        </w:rPr>
      </w:pPr>
      <w:r w:rsidRPr="002B2630">
        <w:rPr>
          <w:lang w:val="en-GB"/>
        </w:rPr>
        <w:br w:type="page"/>
      </w:r>
    </w:p>
    <w:p w:rsidR="00457606" w:rsidRPr="002B2630" w:rsidRDefault="00457606" w:rsidP="00457606">
      <w:pPr>
        <w:ind w:left="-360"/>
        <w:jc w:val="center"/>
        <w:rPr>
          <w:rFonts w:ascii="Verdana" w:hAnsi="Verdana"/>
          <w:b/>
          <w:sz w:val="20"/>
          <w:szCs w:val="20"/>
          <w:lang w:val="en-GB"/>
        </w:rPr>
      </w:pPr>
      <w:r w:rsidRPr="002B2630">
        <w:rPr>
          <w:rFonts w:ascii="Verdana" w:hAnsi="Verdana"/>
          <w:b/>
          <w:sz w:val="20"/>
          <w:szCs w:val="20"/>
          <w:lang w:val="en-GB"/>
        </w:rPr>
        <w:lastRenderedPageBreak/>
        <w:t xml:space="preserve">Table </w:t>
      </w:r>
      <w:r>
        <w:rPr>
          <w:rFonts w:ascii="Verdana" w:hAnsi="Verdana"/>
          <w:b/>
          <w:sz w:val="20"/>
          <w:szCs w:val="20"/>
          <w:lang w:val="en-GB"/>
        </w:rPr>
        <w:t>4</w:t>
      </w:r>
      <w:r w:rsidRPr="002B2630">
        <w:rPr>
          <w:rFonts w:ascii="Verdana" w:hAnsi="Verdana"/>
          <w:b/>
          <w:sz w:val="20"/>
          <w:szCs w:val="20"/>
          <w:lang w:val="en-GB"/>
        </w:rPr>
        <w:t>. Firm-</w:t>
      </w:r>
      <w:r>
        <w:rPr>
          <w:rFonts w:ascii="Verdana" w:hAnsi="Verdana"/>
          <w:b/>
          <w:sz w:val="20"/>
          <w:szCs w:val="20"/>
          <w:lang w:val="en-GB"/>
        </w:rPr>
        <w:t xml:space="preserve"> and country-</w:t>
      </w:r>
      <w:r w:rsidRPr="002B2630">
        <w:rPr>
          <w:rFonts w:ascii="Verdana" w:hAnsi="Verdana"/>
          <w:b/>
          <w:sz w:val="20"/>
          <w:szCs w:val="20"/>
          <w:lang w:val="en-GB"/>
        </w:rPr>
        <w:t>level determinants of debt maturity according to firm size</w:t>
      </w:r>
    </w:p>
    <w:p w:rsidR="00457606" w:rsidRPr="002B2630" w:rsidRDefault="00457606" w:rsidP="00457606">
      <w:pPr>
        <w:pStyle w:val="Textoindependiente"/>
        <w:spacing w:after="0"/>
        <w:jc w:val="both"/>
        <w:rPr>
          <w:rFonts w:ascii="Verdana" w:hAnsi="Verdana" w:cstheme="minorHAnsi"/>
          <w:sz w:val="16"/>
          <w:szCs w:val="16"/>
        </w:rPr>
      </w:pPr>
      <w:r w:rsidRPr="002B2630">
        <w:rPr>
          <w:rFonts w:ascii="Verdana" w:hAnsi="Verdana" w:cstheme="minorHAnsi"/>
          <w:sz w:val="16"/>
          <w:szCs w:val="16"/>
        </w:rPr>
        <w:t xml:space="preserve">Regressions are estimated using panel data. The dependent variable (DEBT_MAT) is the percentage of the firm’s total debt that has a maturity of more than one year. ASSET_MAT is the ratio between net fixed assets and total assets. GROWTH is the market-to-book ratio. SIZE is the natural logarithm of sales. VOL_EBIT is the absolute value of change in </w:t>
      </w:r>
      <w:r w:rsidR="00D474E2">
        <w:rPr>
          <w:rFonts w:ascii="Verdana" w:hAnsi="Verdana" w:cstheme="minorHAnsi"/>
          <w:sz w:val="16"/>
          <w:szCs w:val="16"/>
        </w:rPr>
        <w:t>EBIT</w:t>
      </w:r>
      <w:r w:rsidRPr="002B2630">
        <w:rPr>
          <w:rFonts w:ascii="Verdana" w:hAnsi="Verdana" w:cstheme="minorHAnsi"/>
          <w:sz w:val="16"/>
          <w:szCs w:val="16"/>
        </w:rPr>
        <w:t>. FIRM_QUALITY is the ratio of net income plus depreciation to net debt. LEV is the ratio between total debt and the firm’s market value. RULE_OF_LAW is one of the six dimensions of the WGI</w:t>
      </w:r>
      <w:r w:rsidRPr="002B2630">
        <w:rPr>
          <w:rFonts w:ascii="Verdana" w:hAnsi="Verdana"/>
          <w:sz w:val="16"/>
          <w:szCs w:val="16"/>
        </w:rPr>
        <w:t xml:space="preserve"> and is a measure of the efficiency of the legal system</w:t>
      </w:r>
      <w:r>
        <w:rPr>
          <w:rFonts w:ascii="Verdana" w:hAnsi="Verdana"/>
          <w:sz w:val="16"/>
          <w:szCs w:val="16"/>
        </w:rPr>
        <w:t xml:space="preserve"> and the</w:t>
      </w:r>
      <w:r w:rsidRPr="002B2630">
        <w:rPr>
          <w:rFonts w:ascii="Verdana" w:hAnsi="Verdana" w:cstheme="minorHAnsi"/>
          <w:sz w:val="16"/>
          <w:szCs w:val="16"/>
        </w:rPr>
        <w:t xml:space="preserve"> protection of property rights. C_RIGHTS measures creditor rights.</w:t>
      </w:r>
      <w:r w:rsidRPr="002B2630">
        <w:rPr>
          <w:sz w:val="16"/>
          <w:szCs w:val="16"/>
        </w:rPr>
        <w:t xml:space="preserve"> </w:t>
      </w:r>
      <w:r w:rsidRPr="002B2630">
        <w:rPr>
          <w:rFonts w:ascii="Verdana" w:hAnsi="Verdana" w:cstheme="minorHAnsi"/>
          <w:sz w:val="16"/>
          <w:szCs w:val="16"/>
        </w:rPr>
        <w:t xml:space="preserve">BANK_CONC is the fraction of assets held by the three largest commercial banks in each country. BANK_CREDIT is the ratio of private credit by deposit money banks to GDP. </w:t>
      </w:r>
      <w:r w:rsidR="00EA4BB2">
        <w:rPr>
          <w:rFonts w:ascii="Verdana" w:hAnsi="Verdana" w:cstheme="minorHAnsi"/>
          <w:sz w:val="16"/>
          <w:szCs w:val="16"/>
        </w:rPr>
        <w:t>Columns (1), (2) and (3) report the results for s</w:t>
      </w:r>
      <w:r w:rsidR="005615A1">
        <w:rPr>
          <w:rFonts w:ascii="Verdana" w:hAnsi="Verdana" w:cstheme="minorHAnsi"/>
          <w:sz w:val="16"/>
          <w:szCs w:val="16"/>
        </w:rPr>
        <w:t>mall</w:t>
      </w:r>
      <w:r w:rsidR="00EA4BB2">
        <w:rPr>
          <w:rFonts w:ascii="Verdana" w:hAnsi="Verdana" w:cstheme="minorHAnsi"/>
          <w:sz w:val="16"/>
          <w:szCs w:val="16"/>
        </w:rPr>
        <w:t>, medium and large</w:t>
      </w:r>
      <w:r w:rsidR="005615A1">
        <w:rPr>
          <w:rFonts w:ascii="Verdana" w:hAnsi="Verdana" w:cstheme="minorHAnsi"/>
          <w:sz w:val="16"/>
          <w:szCs w:val="16"/>
        </w:rPr>
        <w:t xml:space="preserve"> firms</w:t>
      </w:r>
      <w:r w:rsidR="00EA4BB2">
        <w:rPr>
          <w:rFonts w:ascii="Verdana" w:hAnsi="Verdana" w:cstheme="minorHAnsi"/>
          <w:sz w:val="16"/>
          <w:szCs w:val="16"/>
        </w:rPr>
        <w:t>, respectively.</w:t>
      </w:r>
      <w:r w:rsidRPr="002B2630">
        <w:rPr>
          <w:rFonts w:ascii="Verdana" w:hAnsi="Verdana" w:cstheme="minorHAnsi"/>
          <w:sz w:val="16"/>
          <w:szCs w:val="16"/>
        </w:rPr>
        <w:t xml:space="preserve"> T-statistics are in parentheses. ***, **, and * represent significance at the 1%, 5%, and 10% levels, respectively. </w:t>
      </w:r>
    </w:p>
    <w:p w:rsidR="00457606" w:rsidRPr="002B2630" w:rsidRDefault="00457606" w:rsidP="00457606">
      <w:pPr>
        <w:ind w:left="-360"/>
        <w:jc w:val="center"/>
        <w:rPr>
          <w:rFonts w:ascii="Verdana" w:hAnsi="Verdana"/>
          <w:b/>
          <w:sz w:val="20"/>
          <w:szCs w:val="20"/>
          <w:lang w:val="en-GB"/>
        </w:rPr>
      </w:pPr>
    </w:p>
    <w:tbl>
      <w:tblPr>
        <w:tblW w:w="0" w:type="auto"/>
        <w:jc w:val="center"/>
        <w:tblCellMar>
          <w:left w:w="70" w:type="dxa"/>
          <w:right w:w="70" w:type="dxa"/>
        </w:tblCellMar>
        <w:tblLook w:val="01E0" w:firstRow="1" w:lastRow="1" w:firstColumn="1" w:lastColumn="1" w:noHBand="0" w:noVBand="0"/>
      </w:tblPr>
      <w:tblGrid>
        <w:gridCol w:w="2198"/>
        <w:gridCol w:w="1085"/>
        <w:gridCol w:w="1085"/>
        <w:gridCol w:w="1085"/>
      </w:tblGrid>
      <w:tr w:rsidR="0009661B" w:rsidRPr="002B2630" w:rsidTr="0009661B">
        <w:trPr>
          <w:jc w:val="center"/>
        </w:trPr>
        <w:tc>
          <w:tcPr>
            <w:tcW w:w="0" w:type="auto"/>
            <w:tcBorders>
              <w:top w:val="double" w:sz="4" w:space="0" w:color="auto"/>
              <w:bottom w:val="single" w:sz="4" w:space="0" w:color="auto"/>
            </w:tcBorders>
            <w:vAlign w:val="center"/>
          </w:tcPr>
          <w:p w:rsidR="0009661B" w:rsidRPr="00D64672" w:rsidRDefault="0009661B" w:rsidP="00D11BA6">
            <w:pPr>
              <w:tabs>
                <w:tab w:val="num" w:pos="540"/>
              </w:tabs>
              <w:spacing w:before="60"/>
              <w:jc w:val="both"/>
              <w:rPr>
                <w:rFonts w:ascii="Verdana" w:hAnsi="Verdana"/>
                <w:sz w:val="16"/>
                <w:szCs w:val="16"/>
                <w:lang w:val="en-GB"/>
              </w:rPr>
            </w:pPr>
          </w:p>
        </w:tc>
        <w:tc>
          <w:tcPr>
            <w:tcW w:w="0" w:type="auto"/>
            <w:tcBorders>
              <w:top w:val="double" w:sz="4" w:space="0" w:color="auto"/>
              <w:bottom w:val="single" w:sz="4" w:space="0" w:color="auto"/>
            </w:tcBorders>
            <w:vAlign w:val="center"/>
          </w:tcPr>
          <w:p w:rsidR="0009661B" w:rsidRPr="00D64672" w:rsidRDefault="0009661B" w:rsidP="00D11BA6">
            <w:pPr>
              <w:tabs>
                <w:tab w:val="num" w:pos="655"/>
              </w:tabs>
              <w:jc w:val="center"/>
              <w:rPr>
                <w:rFonts w:ascii="Verdana" w:hAnsi="Verdana"/>
                <w:sz w:val="16"/>
                <w:szCs w:val="16"/>
                <w:lang w:val="en-GB"/>
              </w:rPr>
            </w:pPr>
            <w:r>
              <w:rPr>
                <w:rFonts w:ascii="Verdana" w:hAnsi="Verdana"/>
                <w:sz w:val="16"/>
                <w:szCs w:val="16"/>
                <w:lang w:val="en-GB"/>
              </w:rPr>
              <w:t>(1)</w:t>
            </w:r>
          </w:p>
        </w:tc>
        <w:tc>
          <w:tcPr>
            <w:tcW w:w="0" w:type="auto"/>
            <w:tcBorders>
              <w:top w:val="double" w:sz="4" w:space="0" w:color="auto"/>
              <w:bottom w:val="single" w:sz="4" w:space="0" w:color="auto"/>
            </w:tcBorders>
            <w:vAlign w:val="center"/>
          </w:tcPr>
          <w:p w:rsidR="0009661B" w:rsidRDefault="0009661B" w:rsidP="00D11BA6">
            <w:pPr>
              <w:tabs>
                <w:tab w:val="num" w:pos="655"/>
              </w:tabs>
              <w:jc w:val="center"/>
              <w:rPr>
                <w:rFonts w:ascii="Verdana" w:hAnsi="Verdana"/>
                <w:sz w:val="16"/>
                <w:szCs w:val="16"/>
                <w:lang w:val="en-GB"/>
              </w:rPr>
            </w:pPr>
            <w:r>
              <w:rPr>
                <w:rFonts w:ascii="Verdana" w:hAnsi="Verdana"/>
                <w:sz w:val="16"/>
                <w:szCs w:val="16"/>
                <w:lang w:val="en-GB"/>
              </w:rPr>
              <w:t>(2)</w:t>
            </w:r>
          </w:p>
        </w:tc>
        <w:tc>
          <w:tcPr>
            <w:tcW w:w="0" w:type="auto"/>
            <w:tcBorders>
              <w:top w:val="double" w:sz="4" w:space="0" w:color="auto"/>
              <w:bottom w:val="single" w:sz="4" w:space="0" w:color="auto"/>
            </w:tcBorders>
            <w:vAlign w:val="center"/>
          </w:tcPr>
          <w:p w:rsidR="0009661B" w:rsidRPr="00D64672" w:rsidRDefault="0009661B" w:rsidP="00D11BA6">
            <w:pPr>
              <w:tabs>
                <w:tab w:val="num" w:pos="655"/>
              </w:tabs>
              <w:jc w:val="center"/>
              <w:rPr>
                <w:rFonts w:ascii="Verdana" w:hAnsi="Verdana"/>
                <w:sz w:val="16"/>
                <w:szCs w:val="16"/>
                <w:lang w:val="en-GB"/>
              </w:rPr>
            </w:pPr>
            <w:r>
              <w:rPr>
                <w:rFonts w:ascii="Verdana" w:hAnsi="Verdana"/>
                <w:sz w:val="16"/>
                <w:szCs w:val="16"/>
                <w:lang w:val="en-GB"/>
              </w:rPr>
              <w:t>(3)</w:t>
            </w:r>
          </w:p>
        </w:tc>
      </w:tr>
      <w:tr w:rsidR="0009661B" w:rsidRPr="002B2630" w:rsidTr="0009661B">
        <w:trPr>
          <w:jc w:val="center"/>
        </w:trPr>
        <w:tc>
          <w:tcPr>
            <w:tcW w:w="0" w:type="auto"/>
            <w:tcBorders>
              <w:top w:val="single" w:sz="4" w:space="0" w:color="auto"/>
            </w:tcBorders>
            <w:vAlign w:val="center"/>
          </w:tcPr>
          <w:p w:rsidR="0009661B" w:rsidRPr="00D64672" w:rsidRDefault="0009661B" w:rsidP="00D11BA6">
            <w:pPr>
              <w:tabs>
                <w:tab w:val="num" w:pos="540"/>
              </w:tabs>
              <w:jc w:val="both"/>
              <w:rPr>
                <w:rFonts w:ascii="Verdana" w:hAnsi="Verdana"/>
                <w:sz w:val="16"/>
                <w:szCs w:val="16"/>
                <w:lang w:val="en-GB"/>
              </w:rPr>
            </w:pPr>
            <w:r w:rsidRPr="00D64672">
              <w:rPr>
                <w:rFonts w:ascii="Verdana" w:hAnsi="Verdana"/>
                <w:sz w:val="16"/>
                <w:szCs w:val="16"/>
                <w:lang w:val="en-GB"/>
              </w:rPr>
              <w:t>Intercept</w:t>
            </w:r>
          </w:p>
        </w:tc>
        <w:tc>
          <w:tcPr>
            <w:tcW w:w="0" w:type="auto"/>
            <w:tcBorders>
              <w:top w:val="single" w:sz="4" w:space="0" w:color="auto"/>
            </w:tcBorders>
          </w:tcPr>
          <w:p w:rsidR="0009661B"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0.5671***</w:t>
            </w:r>
          </w:p>
          <w:p w:rsidR="0009661B" w:rsidRPr="0092040F"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(8.41)</w:t>
            </w:r>
          </w:p>
        </w:tc>
        <w:tc>
          <w:tcPr>
            <w:tcW w:w="0" w:type="auto"/>
            <w:tcBorders>
              <w:top w:val="single" w:sz="4" w:space="0" w:color="auto"/>
            </w:tcBorders>
            <w:vAlign w:val="center"/>
          </w:tcPr>
          <w:p w:rsidR="0009661B"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0.4620***</w:t>
            </w:r>
          </w:p>
          <w:p w:rsidR="007064C1"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(16.39)</w:t>
            </w:r>
          </w:p>
        </w:tc>
        <w:tc>
          <w:tcPr>
            <w:tcW w:w="0" w:type="auto"/>
            <w:tcBorders>
              <w:top w:val="single" w:sz="4" w:space="0" w:color="auto"/>
            </w:tcBorders>
          </w:tcPr>
          <w:p w:rsidR="0009661B"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0.5480***</w:t>
            </w:r>
          </w:p>
          <w:p w:rsidR="007064C1" w:rsidRPr="0092040F"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(13.95)</w:t>
            </w:r>
          </w:p>
        </w:tc>
      </w:tr>
      <w:tr w:rsidR="0009661B" w:rsidRPr="002B2630" w:rsidTr="0009661B">
        <w:trPr>
          <w:jc w:val="center"/>
        </w:trPr>
        <w:tc>
          <w:tcPr>
            <w:tcW w:w="0" w:type="auto"/>
            <w:vAlign w:val="center"/>
          </w:tcPr>
          <w:p w:rsidR="0009661B" w:rsidRPr="00D64672" w:rsidRDefault="0009661B" w:rsidP="00D11BA6">
            <w:pPr>
              <w:tabs>
                <w:tab w:val="num" w:pos="540"/>
              </w:tabs>
              <w:jc w:val="both"/>
              <w:rPr>
                <w:rFonts w:ascii="Verdana" w:hAnsi="Verdana"/>
                <w:sz w:val="16"/>
                <w:szCs w:val="16"/>
                <w:lang w:val="en-GB"/>
              </w:rPr>
            </w:pPr>
            <w:r w:rsidRPr="00D64672">
              <w:rPr>
                <w:rFonts w:ascii="Verdana" w:hAnsi="Verdana"/>
                <w:sz w:val="16"/>
                <w:szCs w:val="16"/>
                <w:lang w:val="en-GB"/>
              </w:rPr>
              <w:t>ASSET_MAT</w:t>
            </w:r>
          </w:p>
        </w:tc>
        <w:tc>
          <w:tcPr>
            <w:tcW w:w="0" w:type="auto"/>
          </w:tcPr>
          <w:p w:rsidR="0009661B"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0.0637***</w:t>
            </w:r>
          </w:p>
          <w:p w:rsidR="0009661B" w:rsidRPr="0092040F"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(2.87)</w:t>
            </w:r>
          </w:p>
        </w:tc>
        <w:tc>
          <w:tcPr>
            <w:tcW w:w="0" w:type="auto"/>
            <w:vAlign w:val="center"/>
          </w:tcPr>
          <w:p w:rsidR="0009661B"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0.0832***</w:t>
            </w:r>
          </w:p>
          <w:p w:rsidR="007064C1"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(5.46)</w:t>
            </w:r>
          </w:p>
        </w:tc>
        <w:tc>
          <w:tcPr>
            <w:tcW w:w="0" w:type="auto"/>
          </w:tcPr>
          <w:p w:rsidR="0009661B"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-0.0114</w:t>
            </w:r>
          </w:p>
          <w:p w:rsidR="007064C1" w:rsidRPr="0092040F"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(-0.62)</w:t>
            </w:r>
          </w:p>
        </w:tc>
      </w:tr>
      <w:tr w:rsidR="0009661B" w:rsidRPr="002B2630" w:rsidTr="0009661B">
        <w:trPr>
          <w:jc w:val="center"/>
        </w:trPr>
        <w:tc>
          <w:tcPr>
            <w:tcW w:w="0" w:type="auto"/>
            <w:vAlign w:val="center"/>
          </w:tcPr>
          <w:p w:rsidR="0009661B" w:rsidRPr="00D64672" w:rsidRDefault="0009661B" w:rsidP="00D11BA6">
            <w:pPr>
              <w:tabs>
                <w:tab w:val="num" w:pos="540"/>
              </w:tabs>
              <w:jc w:val="both"/>
              <w:rPr>
                <w:rFonts w:ascii="Verdana" w:hAnsi="Verdana"/>
                <w:sz w:val="16"/>
                <w:szCs w:val="16"/>
                <w:lang w:val="en-GB"/>
              </w:rPr>
            </w:pPr>
            <w:r w:rsidRPr="00D64672">
              <w:rPr>
                <w:rFonts w:ascii="Verdana" w:hAnsi="Verdana"/>
                <w:sz w:val="16"/>
                <w:szCs w:val="16"/>
                <w:lang w:val="en-GB"/>
              </w:rPr>
              <w:t>GROWTH</w:t>
            </w:r>
          </w:p>
        </w:tc>
        <w:tc>
          <w:tcPr>
            <w:tcW w:w="0" w:type="auto"/>
          </w:tcPr>
          <w:p w:rsidR="0009661B"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0.0003</w:t>
            </w:r>
          </w:p>
          <w:p w:rsidR="0009661B" w:rsidRPr="0092040F"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(0.22)</w:t>
            </w:r>
          </w:p>
        </w:tc>
        <w:tc>
          <w:tcPr>
            <w:tcW w:w="0" w:type="auto"/>
            <w:vAlign w:val="center"/>
          </w:tcPr>
          <w:p w:rsidR="0009661B"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0.0050***</w:t>
            </w:r>
          </w:p>
          <w:p w:rsidR="007064C1"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(5.37)</w:t>
            </w:r>
          </w:p>
        </w:tc>
        <w:tc>
          <w:tcPr>
            <w:tcW w:w="0" w:type="auto"/>
          </w:tcPr>
          <w:p w:rsidR="0009661B"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0.0002</w:t>
            </w:r>
          </w:p>
          <w:p w:rsidR="007064C1" w:rsidRPr="0092040F"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(0.25)</w:t>
            </w:r>
          </w:p>
        </w:tc>
      </w:tr>
      <w:tr w:rsidR="0009661B" w:rsidRPr="002B2630" w:rsidTr="0009661B">
        <w:trPr>
          <w:jc w:val="center"/>
        </w:trPr>
        <w:tc>
          <w:tcPr>
            <w:tcW w:w="0" w:type="auto"/>
            <w:vAlign w:val="center"/>
          </w:tcPr>
          <w:p w:rsidR="0009661B" w:rsidRPr="00D64672" w:rsidRDefault="0009661B" w:rsidP="00D11BA6">
            <w:pPr>
              <w:tabs>
                <w:tab w:val="num" w:pos="540"/>
              </w:tabs>
              <w:jc w:val="both"/>
              <w:rPr>
                <w:rFonts w:ascii="Verdana" w:hAnsi="Verdana"/>
                <w:sz w:val="16"/>
                <w:szCs w:val="16"/>
                <w:lang w:val="en-GB"/>
              </w:rPr>
            </w:pPr>
            <w:r w:rsidRPr="00D64672">
              <w:rPr>
                <w:rFonts w:ascii="Verdana" w:hAnsi="Verdana"/>
                <w:sz w:val="16"/>
                <w:szCs w:val="16"/>
                <w:lang w:val="en-GB"/>
              </w:rPr>
              <w:t>SIZE</w:t>
            </w:r>
          </w:p>
        </w:tc>
        <w:tc>
          <w:tcPr>
            <w:tcW w:w="0" w:type="auto"/>
          </w:tcPr>
          <w:p w:rsidR="0009661B"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-0.0022</w:t>
            </w:r>
          </w:p>
          <w:p w:rsidR="0009661B" w:rsidRPr="0092040F"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(-0.58)</w:t>
            </w:r>
          </w:p>
        </w:tc>
        <w:tc>
          <w:tcPr>
            <w:tcW w:w="0" w:type="auto"/>
            <w:vAlign w:val="center"/>
          </w:tcPr>
          <w:p w:rsidR="0009661B"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-0.0093***</w:t>
            </w:r>
          </w:p>
          <w:p w:rsidR="007064C1"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(-3.07)</w:t>
            </w:r>
          </w:p>
        </w:tc>
        <w:tc>
          <w:tcPr>
            <w:tcW w:w="0" w:type="auto"/>
          </w:tcPr>
          <w:p w:rsidR="0009661B"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-0.0121***</w:t>
            </w:r>
          </w:p>
          <w:p w:rsidR="007064C1" w:rsidRPr="0092040F"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(3.17)</w:t>
            </w:r>
          </w:p>
        </w:tc>
      </w:tr>
      <w:tr w:rsidR="0009661B" w:rsidRPr="002B2630" w:rsidTr="0009661B">
        <w:trPr>
          <w:jc w:val="center"/>
        </w:trPr>
        <w:tc>
          <w:tcPr>
            <w:tcW w:w="0" w:type="auto"/>
            <w:vAlign w:val="center"/>
          </w:tcPr>
          <w:p w:rsidR="0009661B" w:rsidRPr="00D64672" w:rsidRDefault="0009661B" w:rsidP="00D11BA6">
            <w:pPr>
              <w:tabs>
                <w:tab w:val="num" w:pos="540"/>
              </w:tabs>
              <w:jc w:val="both"/>
              <w:rPr>
                <w:rFonts w:ascii="Verdana" w:hAnsi="Verdana"/>
                <w:sz w:val="16"/>
                <w:szCs w:val="16"/>
                <w:lang w:val="en-GB"/>
              </w:rPr>
            </w:pPr>
            <w:r w:rsidRPr="00D64672">
              <w:rPr>
                <w:rFonts w:ascii="Verdana" w:hAnsi="Verdana"/>
                <w:sz w:val="16"/>
                <w:szCs w:val="16"/>
                <w:lang w:val="en-GB"/>
              </w:rPr>
              <w:t xml:space="preserve">FIRM_QUALITY </w:t>
            </w:r>
          </w:p>
        </w:tc>
        <w:tc>
          <w:tcPr>
            <w:tcW w:w="0" w:type="auto"/>
          </w:tcPr>
          <w:p w:rsidR="0009661B"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-0.0003</w:t>
            </w:r>
          </w:p>
          <w:p w:rsidR="0009661B" w:rsidRPr="0092040F"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(-1.54)</w:t>
            </w:r>
          </w:p>
        </w:tc>
        <w:tc>
          <w:tcPr>
            <w:tcW w:w="0" w:type="auto"/>
            <w:vAlign w:val="center"/>
          </w:tcPr>
          <w:p w:rsidR="0009661B"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-0.0006***</w:t>
            </w:r>
          </w:p>
          <w:p w:rsidR="007064C1"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(-4.04)</w:t>
            </w:r>
          </w:p>
        </w:tc>
        <w:tc>
          <w:tcPr>
            <w:tcW w:w="0" w:type="auto"/>
          </w:tcPr>
          <w:p w:rsidR="0009661B"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-0.0017***</w:t>
            </w:r>
          </w:p>
          <w:p w:rsidR="007064C1" w:rsidRPr="0092040F"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(-8.01)</w:t>
            </w:r>
          </w:p>
        </w:tc>
      </w:tr>
      <w:tr w:rsidR="0009661B" w:rsidRPr="002B2630" w:rsidTr="0009661B">
        <w:trPr>
          <w:jc w:val="center"/>
        </w:trPr>
        <w:tc>
          <w:tcPr>
            <w:tcW w:w="0" w:type="auto"/>
            <w:vAlign w:val="center"/>
          </w:tcPr>
          <w:p w:rsidR="0009661B" w:rsidRPr="00D64672" w:rsidRDefault="0009661B" w:rsidP="00D11BA6">
            <w:pPr>
              <w:tabs>
                <w:tab w:val="num" w:pos="540"/>
              </w:tabs>
              <w:jc w:val="both"/>
              <w:rPr>
                <w:rFonts w:ascii="Verdana" w:hAnsi="Verdana"/>
                <w:sz w:val="16"/>
                <w:szCs w:val="16"/>
                <w:lang w:val="en-GB"/>
              </w:rPr>
            </w:pPr>
            <w:r w:rsidRPr="00D64672">
              <w:rPr>
                <w:rFonts w:ascii="Verdana" w:hAnsi="Verdana"/>
                <w:sz w:val="16"/>
                <w:szCs w:val="16"/>
                <w:lang w:val="en-GB"/>
              </w:rPr>
              <w:t>VOL_EBIT</w:t>
            </w:r>
          </w:p>
        </w:tc>
        <w:tc>
          <w:tcPr>
            <w:tcW w:w="0" w:type="auto"/>
          </w:tcPr>
          <w:p w:rsidR="0009661B"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0.0005</w:t>
            </w:r>
          </w:p>
          <w:p w:rsidR="0009661B" w:rsidRPr="0092040F"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(0.83)</w:t>
            </w:r>
          </w:p>
        </w:tc>
        <w:tc>
          <w:tcPr>
            <w:tcW w:w="0" w:type="auto"/>
            <w:vAlign w:val="center"/>
          </w:tcPr>
          <w:p w:rsidR="0009661B"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-0.0003</w:t>
            </w:r>
          </w:p>
          <w:p w:rsidR="007064C1"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(-0.78)</w:t>
            </w:r>
          </w:p>
        </w:tc>
        <w:tc>
          <w:tcPr>
            <w:tcW w:w="0" w:type="auto"/>
          </w:tcPr>
          <w:p w:rsidR="0009661B"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-0.0004</w:t>
            </w:r>
          </w:p>
          <w:p w:rsidR="007064C1" w:rsidRPr="0092040F"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(-0.79)</w:t>
            </w:r>
          </w:p>
        </w:tc>
      </w:tr>
      <w:tr w:rsidR="0009661B" w:rsidRPr="002B2630" w:rsidTr="0009661B">
        <w:trPr>
          <w:jc w:val="center"/>
        </w:trPr>
        <w:tc>
          <w:tcPr>
            <w:tcW w:w="0" w:type="auto"/>
            <w:vAlign w:val="center"/>
          </w:tcPr>
          <w:p w:rsidR="0009661B" w:rsidRPr="00D64672" w:rsidRDefault="0009661B" w:rsidP="00D11BA6">
            <w:pPr>
              <w:tabs>
                <w:tab w:val="num" w:pos="540"/>
              </w:tabs>
              <w:jc w:val="both"/>
              <w:rPr>
                <w:rFonts w:ascii="Verdana" w:hAnsi="Verdana"/>
                <w:sz w:val="16"/>
                <w:szCs w:val="16"/>
                <w:lang w:val="en-GB"/>
              </w:rPr>
            </w:pPr>
            <w:r w:rsidRPr="00D64672">
              <w:rPr>
                <w:rFonts w:ascii="Verdana" w:hAnsi="Verdana"/>
                <w:sz w:val="16"/>
                <w:szCs w:val="16"/>
                <w:lang w:val="en-GB"/>
              </w:rPr>
              <w:t>LEV</w:t>
            </w:r>
          </w:p>
        </w:tc>
        <w:tc>
          <w:tcPr>
            <w:tcW w:w="0" w:type="auto"/>
          </w:tcPr>
          <w:p w:rsidR="0009661B"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0.0476***</w:t>
            </w:r>
          </w:p>
          <w:p w:rsidR="0009661B" w:rsidRPr="0092040F"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(3.55)</w:t>
            </w:r>
          </w:p>
        </w:tc>
        <w:tc>
          <w:tcPr>
            <w:tcW w:w="0" w:type="auto"/>
            <w:vAlign w:val="center"/>
          </w:tcPr>
          <w:p w:rsidR="0009661B"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0.0719***</w:t>
            </w:r>
          </w:p>
          <w:p w:rsidR="007064C1"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(8.48)</w:t>
            </w:r>
          </w:p>
        </w:tc>
        <w:tc>
          <w:tcPr>
            <w:tcW w:w="0" w:type="auto"/>
          </w:tcPr>
          <w:p w:rsidR="0009661B"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0.0515*</w:t>
            </w:r>
          </w:p>
          <w:p w:rsidR="007064C1" w:rsidRPr="0092040F"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(1.95)</w:t>
            </w:r>
          </w:p>
        </w:tc>
      </w:tr>
      <w:tr w:rsidR="0009661B" w:rsidRPr="002B2630" w:rsidTr="0009661B">
        <w:trPr>
          <w:jc w:val="center"/>
        </w:trPr>
        <w:tc>
          <w:tcPr>
            <w:tcW w:w="0" w:type="auto"/>
            <w:vAlign w:val="center"/>
          </w:tcPr>
          <w:p w:rsidR="0009661B" w:rsidRPr="00D64672" w:rsidRDefault="0009661B" w:rsidP="00D11BA6">
            <w:pPr>
              <w:tabs>
                <w:tab w:val="num" w:pos="540"/>
              </w:tabs>
              <w:jc w:val="both"/>
              <w:rPr>
                <w:rFonts w:ascii="Verdana" w:hAnsi="Verdana"/>
                <w:sz w:val="16"/>
                <w:szCs w:val="16"/>
                <w:lang w:val="en-GB"/>
              </w:rPr>
            </w:pPr>
            <w:bookmarkStart w:id="2" w:name="_GoBack"/>
            <w:bookmarkEnd w:id="2"/>
            <w:r w:rsidRPr="00D64672">
              <w:rPr>
                <w:rFonts w:ascii="Verdana" w:hAnsi="Verdana"/>
                <w:sz w:val="16"/>
                <w:szCs w:val="16"/>
                <w:lang w:val="en-GB"/>
              </w:rPr>
              <w:t>RULE_OF_LAW</w:t>
            </w:r>
          </w:p>
        </w:tc>
        <w:tc>
          <w:tcPr>
            <w:tcW w:w="0" w:type="auto"/>
          </w:tcPr>
          <w:p w:rsidR="0009661B"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0.0528*</w:t>
            </w:r>
          </w:p>
          <w:p w:rsidR="0009661B" w:rsidRPr="0092040F"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(1.83)</w:t>
            </w:r>
          </w:p>
        </w:tc>
        <w:tc>
          <w:tcPr>
            <w:tcW w:w="0" w:type="auto"/>
            <w:vAlign w:val="center"/>
          </w:tcPr>
          <w:p w:rsidR="0009661B"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0.0277*</w:t>
            </w:r>
          </w:p>
          <w:p w:rsidR="007064C1"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(1.67)</w:t>
            </w:r>
          </w:p>
        </w:tc>
        <w:tc>
          <w:tcPr>
            <w:tcW w:w="0" w:type="auto"/>
          </w:tcPr>
          <w:p w:rsidR="0009661B"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0.0753***</w:t>
            </w:r>
          </w:p>
          <w:p w:rsidR="007064C1" w:rsidRPr="0092040F"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(3.96)</w:t>
            </w:r>
          </w:p>
        </w:tc>
      </w:tr>
      <w:tr w:rsidR="0009661B" w:rsidRPr="002B2630" w:rsidTr="0009661B">
        <w:trPr>
          <w:jc w:val="center"/>
        </w:trPr>
        <w:tc>
          <w:tcPr>
            <w:tcW w:w="0" w:type="auto"/>
            <w:vAlign w:val="center"/>
          </w:tcPr>
          <w:p w:rsidR="0009661B" w:rsidRPr="00D64672" w:rsidRDefault="0009661B" w:rsidP="00D11BA6">
            <w:pPr>
              <w:tabs>
                <w:tab w:val="num" w:pos="540"/>
              </w:tabs>
              <w:jc w:val="both"/>
              <w:rPr>
                <w:rFonts w:ascii="Verdana" w:hAnsi="Verdana"/>
                <w:sz w:val="16"/>
                <w:szCs w:val="16"/>
                <w:lang w:val="en-GB"/>
              </w:rPr>
            </w:pPr>
            <w:r w:rsidRPr="00D64672">
              <w:rPr>
                <w:rFonts w:ascii="Verdana" w:hAnsi="Verdana"/>
                <w:sz w:val="16"/>
                <w:szCs w:val="16"/>
                <w:lang w:val="en-GB"/>
              </w:rPr>
              <w:t>C_RIGHTS</w:t>
            </w:r>
          </w:p>
        </w:tc>
        <w:tc>
          <w:tcPr>
            <w:tcW w:w="0" w:type="auto"/>
          </w:tcPr>
          <w:p w:rsidR="0009661B"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-0.0964***</w:t>
            </w:r>
          </w:p>
          <w:p w:rsidR="0009661B" w:rsidRPr="0092040F"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(-3.66)</w:t>
            </w:r>
          </w:p>
        </w:tc>
        <w:tc>
          <w:tcPr>
            <w:tcW w:w="0" w:type="auto"/>
            <w:vAlign w:val="center"/>
          </w:tcPr>
          <w:p w:rsidR="0009661B"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0.0147***</w:t>
            </w:r>
          </w:p>
          <w:p w:rsidR="007064C1"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(3.39)</w:t>
            </w:r>
          </w:p>
        </w:tc>
        <w:tc>
          <w:tcPr>
            <w:tcW w:w="0" w:type="auto"/>
          </w:tcPr>
          <w:p w:rsidR="0009661B"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0.0093**</w:t>
            </w:r>
          </w:p>
          <w:p w:rsidR="007064C1" w:rsidRPr="0092040F"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(2.50)</w:t>
            </w:r>
          </w:p>
        </w:tc>
      </w:tr>
      <w:tr w:rsidR="0009661B" w:rsidRPr="002B2630" w:rsidTr="0009661B">
        <w:trPr>
          <w:jc w:val="center"/>
        </w:trPr>
        <w:tc>
          <w:tcPr>
            <w:tcW w:w="0" w:type="auto"/>
            <w:vAlign w:val="center"/>
          </w:tcPr>
          <w:p w:rsidR="0009661B" w:rsidRPr="00D64672" w:rsidRDefault="0009661B" w:rsidP="00D11BA6">
            <w:pPr>
              <w:tabs>
                <w:tab w:val="num" w:pos="540"/>
              </w:tabs>
              <w:jc w:val="both"/>
              <w:rPr>
                <w:rFonts w:ascii="Verdana" w:hAnsi="Verdana"/>
                <w:sz w:val="16"/>
                <w:szCs w:val="16"/>
                <w:lang w:val="en-GB"/>
              </w:rPr>
            </w:pPr>
            <w:r w:rsidRPr="00D64672">
              <w:rPr>
                <w:rFonts w:ascii="Verdana" w:hAnsi="Verdana"/>
                <w:sz w:val="16"/>
                <w:szCs w:val="16"/>
                <w:lang w:val="en-GB"/>
              </w:rPr>
              <w:t>BANK_CONC</w:t>
            </w:r>
          </w:p>
        </w:tc>
        <w:tc>
          <w:tcPr>
            <w:tcW w:w="0" w:type="auto"/>
          </w:tcPr>
          <w:p w:rsidR="0009661B"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0.1073**</w:t>
            </w:r>
          </w:p>
          <w:p w:rsidR="0009661B" w:rsidRPr="0092040F"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(2.42)</w:t>
            </w:r>
          </w:p>
        </w:tc>
        <w:tc>
          <w:tcPr>
            <w:tcW w:w="0" w:type="auto"/>
            <w:vAlign w:val="center"/>
          </w:tcPr>
          <w:p w:rsidR="0009661B"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0.0435**</w:t>
            </w:r>
          </w:p>
          <w:p w:rsidR="007064C1"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(2.45)</w:t>
            </w:r>
          </w:p>
        </w:tc>
        <w:tc>
          <w:tcPr>
            <w:tcW w:w="0" w:type="auto"/>
          </w:tcPr>
          <w:p w:rsidR="0009661B"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0.0170</w:t>
            </w:r>
          </w:p>
          <w:p w:rsidR="007064C1" w:rsidRPr="0092040F"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(0.77)</w:t>
            </w:r>
          </w:p>
        </w:tc>
      </w:tr>
      <w:tr w:rsidR="0009661B" w:rsidRPr="002B2630" w:rsidTr="0009661B">
        <w:trPr>
          <w:jc w:val="center"/>
        </w:trPr>
        <w:tc>
          <w:tcPr>
            <w:tcW w:w="0" w:type="auto"/>
            <w:vAlign w:val="center"/>
          </w:tcPr>
          <w:p w:rsidR="0009661B" w:rsidRPr="00D64672" w:rsidRDefault="0009661B" w:rsidP="00D11BA6">
            <w:pPr>
              <w:tabs>
                <w:tab w:val="num" w:pos="540"/>
              </w:tabs>
              <w:jc w:val="both"/>
              <w:rPr>
                <w:rFonts w:ascii="Verdana" w:hAnsi="Verdana"/>
                <w:sz w:val="16"/>
                <w:szCs w:val="16"/>
                <w:lang w:val="en-GB"/>
              </w:rPr>
            </w:pPr>
            <w:r w:rsidRPr="00D64672">
              <w:rPr>
                <w:rFonts w:ascii="Verdana" w:hAnsi="Verdana"/>
                <w:sz w:val="16"/>
                <w:szCs w:val="16"/>
                <w:lang w:val="en-GB"/>
              </w:rPr>
              <w:t>BANK CREDIT</w:t>
            </w:r>
          </w:p>
        </w:tc>
        <w:tc>
          <w:tcPr>
            <w:tcW w:w="0" w:type="auto"/>
          </w:tcPr>
          <w:p w:rsidR="0009661B"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-0.0516**</w:t>
            </w:r>
          </w:p>
          <w:p w:rsidR="0009661B" w:rsidRPr="0092040F"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(-2.40)</w:t>
            </w:r>
          </w:p>
        </w:tc>
        <w:tc>
          <w:tcPr>
            <w:tcW w:w="0" w:type="auto"/>
            <w:vAlign w:val="center"/>
          </w:tcPr>
          <w:p w:rsidR="0009661B"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-0.0605***</w:t>
            </w:r>
          </w:p>
          <w:p w:rsidR="007064C1"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(-4.86)</w:t>
            </w:r>
          </w:p>
        </w:tc>
        <w:tc>
          <w:tcPr>
            <w:tcW w:w="0" w:type="auto"/>
          </w:tcPr>
          <w:p w:rsidR="0009661B"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0.0016</w:t>
            </w:r>
          </w:p>
          <w:p w:rsidR="007064C1" w:rsidRPr="0092040F" w:rsidRDefault="007064C1"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(0.12)</w:t>
            </w:r>
          </w:p>
        </w:tc>
      </w:tr>
      <w:tr w:rsidR="0009661B" w:rsidRPr="002B2630" w:rsidTr="0009661B">
        <w:trPr>
          <w:jc w:val="center"/>
        </w:trPr>
        <w:tc>
          <w:tcPr>
            <w:tcW w:w="0" w:type="auto"/>
            <w:tcBorders>
              <w:top w:val="single" w:sz="4" w:space="0" w:color="auto"/>
            </w:tcBorders>
            <w:vAlign w:val="center"/>
          </w:tcPr>
          <w:p w:rsidR="0009661B" w:rsidRPr="00D64672" w:rsidRDefault="0009661B" w:rsidP="00D11BA6">
            <w:pPr>
              <w:tabs>
                <w:tab w:val="num" w:pos="540"/>
              </w:tabs>
              <w:jc w:val="both"/>
              <w:rPr>
                <w:rFonts w:ascii="Verdana" w:hAnsi="Verdana"/>
                <w:sz w:val="16"/>
                <w:szCs w:val="16"/>
                <w:lang w:val="en-GB"/>
              </w:rPr>
            </w:pPr>
            <w:r w:rsidRPr="00D64672">
              <w:rPr>
                <w:rFonts w:ascii="Verdana" w:hAnsi="Verdana"/>
                <w:sz w:val="16"/>
                <w:szCs w:val="16"/>
                <w:lang w:val="en-GB"/>
              </w:rPr>
              <w:t>Hausman test</w:t>
            </w:r>
          </w:p>
        </w:tc>
        <w:tc>
          <w:tcPr>
            <w:tcW w:w="0" w:type="auto"/>
            <w:tcBorders>
              <w:top w:val="single" w:sz="4" w:space="0" w:color="auto"/>
            </w:tcBorders>
            <w:vAlign w:val="center"/>
          </w:tcPr>
          <w:p w:rsidR="0009661B" w:rsidRPr="00D64672" w:rsidRDefault="0009661B" w:rsidP="00D11BA6">
            <w:pPr>
              <w:tabs>
                <w:tab w:val="num" w:pos="540"/>
              </w:tabs>
              <w:jc w:val="center"/>
              <w:rPr>
                <w:rFonts w:ascii="Verdana" w:hAnsi="Verdana"/>
                <w:sz w:val="16"/>
                <w:szCs w:val="16"/>
                <w:lang w:val="en-GB"/>
              </w:rPr>
            </w:pPr>
            <w:r>
              <w:rPr>
                <w:rFonts w:ascii="Verdana" w:hAnsi="Verdana"/>
                <w:sz w:val="16"/>
                <w:szCs w:val="16"/>
                <w:lang w:val="en-GB"/>
              </w:rPr>
              <w:t>185.36***</w:t>
            </w:r>
          </w:p>
        </w:tc>
        <w:tc>
          <w:tcPr>
            <w:tcW w:w="0" w:type="auto"/>
            <w:tcBorders>
              <w:top w:val="single" w:sz="4" w:space="0" w:color="auto"/>
            </w:tcBorders>
            <w:vAlign w:val="center"/>
          </w:tcPr>
          <w:p w:rsidR="0009661B" w:rsidRDefault="007064C1" w:rsidP="007064C1">
            <w:pPr>
              <w:tabs>
                <w:tab w:val="num" w:pos="540"/>
              </w:tabs>
              <w:jc w:val="center"/>
              <w:rPr>
                <w:rFonts w:ascii="Verdana" w:hAnsi="Verdana"/>
                <w:sz w:val="16"/>
                <w:szCs w:val="16"/>
                <w:lang w:val="en-GB"/>
              </w:rPr>
            </w:pPr>
            <w:r>
              <w:rPr>
                <w:rFonts w:ascii="Verdana" w:hAnsi="Verdana"/>
                <w:sz w:val="16"/>
                <w:szCs w:val="16"/>
                <w:lang w:val="en-GB"/>
              </w:rPr>
              <w:t>539.95</w:t>
            </w:r>
            <w:r w:rsidR="0009661B">
              <w:rPr>
                <w:rFonts w:ascii="Verdana" w:hAnsi="Verdana"/>
                <w:sz w:val="16"/>
                <w:szCs w:val="16"/>
                <w:lang w:val="en-GB"/>
              </w:rPr>
              <w:t>***</w:t>
            </w:r>
          </w:p>
        </w:tc>
        <w:tc>
          <w:tcPr>
            <w:tcW w:w="0" w:type="auto"/>
            <w:tcBorders>
              <w:top w:val="single" w:sz="4" w:space="0" w:color="auto"/>
            </w:tcBorders>
            <w:vAlign w:val="center"/>
          </w:tcPr>
          <w:p w:rsidR="0009661B" w:rsidRPr="00D64672" w:rsidRDefault="007064C1" w:rsidP="007064C1">
            <w:pPr>
              <w:tabs>
                <w:tab w:val="num" w:pos="540"/>
              </w:tabs>
              <w:jc w:val="center"/>
              <w:rPr>
                <w:rFonts w:ascii="Verdana" w:hAnsi="Verdana"/>
                <w:sz w:val="16"/>
                <w:szCs w:val="16"/>
                <w:lang w:val="en-GB"/>
              </w:rPr>
            </w:pPr>
            <w:r>
              <w:rPr>
                <w:rFonts w:ascii="Verdana" w:hAnsi="Verdana"/>
                <w:sz w:val="16"/>
                <w:szCs w:val="16"/>
                <w:lang w:val="en-GB"/>
              </w:rPr>
              <w:t>615.95</w:t>
            </w:r>
            <w:r w:rsidR="0009661B">
              <w:rPr>
                <w:rFonts w:ascii="Verdana" w:hAnsi="Verdana"/>
                <w:sz w:val="16"/>
                <w:szCs w:val="16"/>
                <w:lang w:val="en-GB"/>
              </w:rPr>
              <w:t>***</w:t>
            </w:r>
          </w:p>
        </w:tc>
      </w:tr>
      <w:tr w:rsidR="0009661B" w:rsidRPr="002B2630" w:rsidTr="0009661B">
        <w:trPr>
          <w:jc w:val="center"/>
        </w:trPr>
        <w:tc>
          <w:tcPr>
            <w:tcW w:w="0" w:type="auto"/>
            <w:vAlign w:val="center"/>
          </w:tcPr>
          <w:p w:rsidR="0009661B" w:rsidRPr="00D64672" w:rsidRDefault="0009661B" w:rsidP="00D11BA6">
            <w:pPr>
              <w:tabs>
                <w:tab w:val="num" w:pos="540"/>
              </w:tabs>
              <w:jc w:val="both"/>
              <w:rPr>
                <w:rFonts w:ascii="Verdana" w:hAnsi="Verdana"/>
                <w:sz w:val="16"/>
                <w:szCs w:val="16"/>
                <w:lang w:val="en-GB"/>
              </w:rPr>
            </w:pPr>
            <w:r w:rsidRPr="00D64672">
              <w:rPr>
                <w:rFonts w:ascii="Verdana" w:hAnsi="Verdana"/>
                <w:sz w:val="16"/>
                <w:szCs w:val="16"/>
                <w:lang w:val="en-GB"/>
              </w:rPr>
              <w:t>F test</w:t>
            </w:r>
          </w:p>
        </w:tc>
        <w:tc>
          <w:tcPr>
            <w:tcW w:w="0" w:type="auto"/>
            <w:vAlign w:val="center"/>
          </w:tcPr>
          <w:p w:rsidR="0009661B" w:rsidRPr="00D64672" w:rsidRDefault="0009661B" w:rsidP="00D11BA6">
            <w:pPr>
              <w:tabs>
                <w:tab w:val="num" w:pos="540"/>
              </w:tabs>
              <w:jc w:val="center"/>
              <w:rPr>
                <w:rFonts w:ascii="Verdana" w:hAnsi="Verdana"/>
                <w:sz w:val="16"/>
                <w:szCs w:val="16"/>
                <w:lang w:val="en-GB"/>
              </w:rPr>
            </w:pPr>
            <w:r>
              <w:rPr>
                <w:rFonts w:ascii="Verdana" w:hAnsi="Verdana"/>
                <w:sz w:val="16"/>
                <w:szCs w:val="16"/>
                <w:lang w:val="en-GB"/>
              </w:rPr>
              <w:t>10.40***</w:t>
            </w:r>
          </w:p>
        </w:tc>
        <w:tc>
          <w:tcPr>
            <w:tcW w:w="0" w:type="auto"/>
            <w:vAlign w:val="center"/>
          </w:tcPr>
          <w:p w:rsidR="0009661B" w:rsidRDefault="0009661B" w:rsidP="007064C1">
            <w:pPr>
              <w:tabs>
                <w:tab w:val="num" w:pos="540"/>
              </w:tabs>
              <w:jc w:val="center"/>
              <w:rPr>
                <w:rFonts w:ascii="Verdana" w:hAnsi="Verdana"/>
                <w:sz w:val="16"/>
                <w:szCs w:val="16"/>
                <w:lang w:val="en-GB"/>
              </w:rPr>
            </w:pPr>
            <w:r>
              <w:rPr>
                <w:rFonts w:ascii="Verdana" w:hAnsi="Verdana"/>
                <w:sz w:val="16"/>
                <w:szCs w:val="16"/>
                <w:lang w:val="en-GB"/>
              </w:rPr>
              <w:t>2</w:t>
            </w:r>
            <w:r w:rsidR="007064C1">
              <w:rPr>
                <w:rFonts w:ascii="Verdana" w:hAnsi="Verdana"/>
                <w:sz w:val="16"/>
                <w:szCs w:val="16"/>
                <w:lang w:val="en-GB"/>
              </w:rPr>
              <w:t>7.22**</w:t>
            </w:r>
            <w:r>
              <w:rPr>
                <w:rFonts w:ascii="Verdana" w:hAnsi="Verdana"/>
                <w:sz w:val="16"/>
                <w:szCs w:val="16"/>
                <w:lang w:val="en-GB"/>
              </w:rPr>
              <w:t>*</w:t>
            </w:r>
          </w:p>
        </w:tc>
        <w:tc>
          <w:tcPr>
            <w:tcW w:w="0" w:type="auto"/>
            <w:vAlign w:val="center"/>
          </w:tcPr>
          <w:p w:rsidR="0009661B" w:rsidRPr="00D64672" w:rsidRDefault="007064C1" w:rsidP="007064C1">
            <w:pPr>
              <w:tabs>
                <w:tab w:val="num" w:pos="540"/>
              </w:tabs>
              <w:jc w:val="center"/>
              <w:rPr>
                <w:rFonts w:ascii="Verdana" w:hAnsi="Verdana"/>
                <w:sz w:val="16"/>
                <w:szCs w:val="16"/>
                <w:lang w:val="en-GB"/>
              </w:rPr>
            </w:pPr>
            <w:r>
              <w:rPr>
                <w:rFonts w:ascii="Verdana" w:hAnsi="Verdana"/>
                <w:sz w:val="16"/>
                <w:szCs w:val="16"/>
                <w:lang w:val="en-GB"/>
              </w:rPr>
              <w:t>16.88</w:t>
            </w:r>
            <w:r w:rsidR="0009661B">
              <w:rPr>
                <w:rFonts w:ascii="Verdana" w:hAnsi="Verdana"/>
                <w:sz w:val="16"/>
                <w:szCs w:val="16"/>
                <w:lang w:val="en-GB"/>
              </w:rPr>
              <w:t>***</w:t>
            </w:r>
          </w:p>
        </w:tc>
      </w:tr>
      <w:tr w:rsidR="0009661B" w:rsidRPr="002B2630" w:rsidTr="0009661B">
        <w:trPr>
          <w:jc w:val="center"/>
        </w:trPr>
        <w:tc>
          <w:tcPr>
            <w:tcW w:w="0" w:type="auto"/>
            <w:vAlign w:val="center"/>
          </w:tcPr>
          <w:p w:rsidR="0009661B" w:rsidRPr="00D64672" w:rsidRDefault="0009661B" w:rsidP="00D11BA6">
            <w:pPr>
              <w:tabs>
                <w:tab w:val="num" w:pos="540"/>
              </w:tabs>
              <w:jc w:val="both"/>
              <w:rPr>
                <w:rFonts w:ascii="Verdana" w:hAnsi="Verdana"/>
                <w:sz w:val="16"/>
                <w:szCs w:val="16"/>
                <w:lang w:val="en-GB"/>
              </w:rPr>
            </w:pPr>
            <w:r w:rsidRPr="00D64672">
              <w:rPr>
                <w:rFonts w:ascii="Verdana" w:hAnsi="Verdana"/>
                <w:sz w:val="16"/>
                <w:szCs w:val="16"/>
                <w:lang w:val="en-GB"/>
              </w:rPr>
              <w:t># observations</w:t>
            </w:r>
          </w:p>
        </w:tc>
        <w:tc>
          <w:tcPr>
            <w:tcW w:w="0" w:type="auto"/>
          </w:tcPr>
          <w:p w:rsidR="0009661B" w:rsidRPr="0092040F"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24,249</w:t>
            </w:r>
          </w:p>
        </w:tc>
        <w:tc>
          <w:tcPr>
            <w:tcW w:w="0" w:type="auto"/>
            <w:vAlign w:val="center"/>
          </w:tcPr>
          <w:p w:rsidR="0009661B" w:rsidRDefault="0009661B" w:rsidP="00D11BA6">
            <w:pPr>
              <w:widowControl w:val="0"/>
              <w:autoSpaceDE w:val="0"/>
              <w:autoSpaceDN w:val="0"/>
              <w:adjustRightInd w:val="0"/>
              <w:jc w:val="center"/>
              <w:rPr>
                <w:rFonts w:ascii="Verdana" w:hAnsi="Verdana"/>
                <w:sz w:val="16"/>
                <w:szCs w:val="16"/>
                <w:lang w:val="en-US"/>
              </w:rPr>
            </w:pPr>
            <w:r>
              <w:rPr>
                <w:rFonts w:ascii="Verdana" w:hAnsi="Verdana"/>
                <w:sz w:val="16"/>
                <w:szCs w:val="16"/>
                <w:lang w:val="en-US"/>
              </w:rPr>
              <w:t>55,785</w:t>
            </w:r>
          </w:p>
        </w:tc>
        <w:tc>
          <w:tcPr>
            <w:tcW w:w="0" w:type="auto"/>
            <w:vAlign w:val="center"/>
          </w:tcPr>
          <w:p w:rsidR="0009661B" w:rsidRPr="00D64672" w:rsidRDefault="0009661B" w:rsidP="007064C1">
            <w:pPr>
              <w:tabs>
                <w:tab w:val="num" w:pos="540"/>
              </w:tabs>
              <w:jc w:val="center"/>
              <w:rPr>
                <w:rFonts w:ascii="Verdana" w:hAnsi="Verdana"/>
                <w:sz w:val="16"/>
                <w:szCs w:val="16"/>
                <w:lang w:val="en-GB"/>
              </w:rPr>
            </w:pPr>
            <w:r>
              <w:rPr>
                <w:rFonts w:ascii="Verdana" w:hAnsi="Verdana"/>
                <w:sz w:val="16"/>
                <w:szCs w:val="16"/>
                <w:lang w:val="en-US"/>
              </w:rPr>
              <w:t>3</w:t>
            </w:r>
            <w:r w:rsidR="007064C1">
              <w:rPr>
                <w:rFonts w:ascii="Verdana" w:hAnsi="Verdana"/>
                <w:sz w:val="16"/>
                <w:szCs w:val="16"/>
                <w:lang w:val="en-US"/>
              </w:rPr>
              <w:t>0</w:t>
            </w:r>
            <w:r>
              <w:rPr>
                <w:rFonts w:ascii="Verdana" w:hAnsi="Verdana"/>
                <w:sz w:val="16"/>
                <w:szCs w:val="16"/>
                <w:lang w:val="en-US"/>
              </w:rPr>
              <w:t>,</w:t>
            </w:r>
            <w:r w:rsidR="007064C1">
              <w:rPr>
                <w:rFonts w:ascii="Verdana" w:hAnsi="Verdana"/>
                <w:sz w:val="16"/>
                <w:szCs w:val="16"/>
                <w:lang w:val="en-US"/>
              </w:rPr>
              <w:t>980</w:t>
            </w:r>
          </w:p>
        </w:tc>
      </w:tr>
      <w:tr w:rsidR="0009661B" w:rsidRPr="002B2630" w:rsidTr="0009661B">
        <w:trPr>
          <w:jc w:val="center"/>
        </w:trPr>
        <w:tc>
          <w:tcPr>
            <w:tcW w:w="0" w:type="auto"/>
            <w:vAlign w:val="center"/>
          </w:tcPr>
          <w:p w:rsidR="0009661B" w:rsidRPr="00D64672" w:rsidRDefault="0009661B" w:rsidP="00D11BA6">
            <w:pPr>
              <w:tabs>
                <w:tab w:val="num" w:pos="540"/>
              </w:tabs>
              <w:jc w:val="both"/>
              <w:rPr>
                <w:rFonts w:ascii="Verdana" w:hAnsi="Verdana"/>
                <w:sz w:val="16"/>
                <w:szCs w:val="16"/>
                <w:lang w:val="en-GB"/>
              </w:rPr>
            </w:pPr>
            <w:r w:rsidRPr="00D64672">
              <w:rPr>
                <w:rFonts w:ascii="Verdana" w:hAnsi="Verdana"/>
                <w:sz w:val="16"/>
                <w:szCs w:val="16"/>
                <w:lang w:val="en-GB"/>
              </w:rPr>
              <w:t># firms</w:t>
            </w:r>
          </w:p>
        </w:tc>
        <w:tc>
          <w:tcPr>
            <w:tcW w:w="0" w:type="auto"/>
            <w:vAlign w:val="center"/>
          </w:tcPr>
          <w:p w:rsidR="0009661B" w:rsidRPr="00D64672" w:rsidRDefault="0009661B" w:rsidP="00D11BA6">
            <w:pPr>
              <w:tabs>
                <w:tab w:val="num" w:pos="540"/>
              </w:tabs>
              <w:jc w:val="center"/>
              <w:rPr>
                <w:rFonts w:ascii="Verdana" w:hAnsi="Verdana"/>
                <w:sz w:val="16"/>
                <w:szCs w:val="16"/>
                <w:lang w:val="en-GB"/>
              </w:rPr>
            </w:pPr>
            <w:r>
              <w:rPr>
                <w:rFonts w:ascii="Verdana" w:hAnsi="Verdana"/>
                <w:sz w:val="16"/>
                <w:szCs w:val="16"/>
                <w:lang w:val="en-GB"/>
              </w:rPr>
              <w:t>7,849</w:t>
            </w:r>
          </w:p>
        </w:tc>
        <w:tc>
          <w:tcPr>
            <w:tcW w:w="0" w:type="auto"/>
            <w:vAlign w:val="center"/>
          </w:tcPr>
          <w:p w:rsidR="0009661B" w:rsidRDefault="0009661B" w:rsidP="00D11BA6">
            <w:pPr>
              <w:tabs>
                <w:tab w:val="num" w:pos="540"/>
              </w:tabs>
              <w:jc w:val="center"/>
              <w:rPr>
                <w:rFonts w:ascii="Verdana" w:hAnsi="Verdana"/>
                <w:sz w:val="16"/>
                <w:szCs w:val="16"/>
                <w:lang w:val="en-GB"/>
              </w:rPr>
            </w:pPr>
            <w:r>
              <w:rPr>
                <w:rFonts w:ascii="Verdana" w:hAnsi="Verdana"/>
                <w:sz w:val="16"/>
                <w:szCs w:val="16"/>
                <w:lang w:val="en-GB"/>
              </w:rPr>
              <w:t>13,677</w:t>
            </w:r>
          </w:p>
        </w:tc>
        <w:tc>
          <w:tcPr>
            <w:tcW w:w="0" w:type="auto"/>
            <w:vAlign w:val="center"/>
          </w:tcPr>
          <w:p w:rsidR="0009661B" w:rsidRPr="00D64672" w:rsidRDefault="0009661B" w:rsidP="007064C1">
            <w:pPr>
              <w:tabs>
                <w:tab w:val="num" w:pos="540"/>
              </w:tabs>
              <w:jc w:val="center"/>
              <w:rPr>
                <w:rFonts w:ascii="Verdana" w:hAnsi="Verdana"/>
                <w:sz w:val="16"/>
                <w:szCs w:val="16"/>
                <w:lang w:val="en-GB"/>
              </w:rPr>
            </w:pPr>
            <w:r>
              <w:rPr>
                <w:rFonts w:ascii="Verdana" w:hAnsi="Verdana"/>
                <w:sz w:val="16"/>
                <w:szCs w:val="16"/>
                <w:lang w:val="en-GB"/>
              </w:rPr>
              <w:t>6,3</w:t>
            </w:r>
            <w:r w:rsidR="007064C1">
              <w:rPr>
                <w:rFonts w:ascii="Verdana" w:hAnsi="Verdana"/>
                <w:sz w:val="16"/>
                <w:szCs w:val="16"/>
                <w:lang w:val="en-GB"/>
              </w:rPr>
              <w:t>06</w:t>
            </w:r>
          </w:p>
        </w:tc>
      </w:tr>
      <w:tr w:rsidR="0009661B" w:rsidRPr="002B2630" w:rsidTr="0009661B">
        <w:trPr>
          <w:jc w:val="center"/>
        </w:trPr>
        <w:tc>
          <w:tcPr>
            <w:tcW w:w="0" w:type="auto"/>
            <w:tcBorders>
              <w:bottom w:val="double" w:sz="4" w:space="0" w:color="auto"/>
            </w:tcBorders>
            <w:vAlign w:val="center"/>
          </w:tcPr>
          <w:p w:rsidR="0009661B" w:rsidRPr="00D64672" w:rsidRDefault="0009661B" w:rsidP="00D11BA6">
            <w:pPr>
              <w:tabs>
                <w:tab w:val="num" w:pos="540"/>
              </w:tabs>
              <w:jc w:val="both"/>
              <w:rPr>
                <w:rFonts w:ascii="Verdana" w:hAnsi="Verdana"/>
                <w:sz w:val="16"/>
                <w:szCs w:val="16"/>
                <w:lang w:val="en-GB"/>
              </w:rPr>
            </w:pPr>
            <w:r w:rsidRPr="0009661B">
              <w:rPr>
                <w:rFonts w:ascii="Verdana" w:hAnsi="Verdana"/>
                <w:sz w:val="16"/>
                <w:szCs w:val="16"/>
                <w:lang w:val="en-GB"/>
              </w:rPr>
              <w:t>Durbin-Wu-Hausman test</w:t>
            </w:r>
          </w:p>
        </w:tc>
        <w:tc>
          <w:tcPr>
            <w:tcW w:w="0" w:type="auto"/>
            <w:tcBorders>
              <w:bottom w:val="double" w:sz="4" w:space="0" w:color="auto"/>
            </w:tcBorders>
            <w:vAlign w:val="center"/>
          </w:tcPr>
          <w:p w:rsidR="0009661B" w:rsidRDefault="007064C1" w:rsidP="007064C1">
            <w:pPr>
              <w:tabs>
                <w:tab w:val="num" w:pos="540"/>
              </w:tabs>
              <w:jc w:val="center"/>
              <w:rPr>
                <w:rFonts w:ascii="Verdana" w:hAnsi="Verdana"/>
                <w:sz w:val="16"/>
                <w:szCs w:val="16"/>
                <w:lang w:val="en-GB"/>
              </w:rPr>
            </w:pPr>
            <w:r>
              <w:rPr>
                <w:rFonts w:ascii="Verdana" w:hAnsi="Verdana"/>
                <w:sz w:val="16"/>
                <w:szCs w:val="16"/>
                <w:lang w:val="en-GB"/>
              </w:rPr>
              <w:t>0.50</w:t>
            </w:r>
          </w:p>
        </w:tc>
        <w:tc>
          <w:tcPr>
            <w:tcW w:w="0" w:type="auto"/>
            <w:tcBorders>
              <w:bottom w:val="double" w:sz="4" w:space="0" w:color="auto"/>
            </w:tcBorders>
            <w:vAlign w:val="center"/>
          </w:tcPr>
          <w:p w:rsidR="0009661B" w:rsidRDefault="007064C1" w:rsidP="00D11BA6">
            <w:pPr>
              <w:tabs>
                <w:tab w:val="num" w:pos="540"/>
              </w:tabs>
              <w:jc w:val="center"/>
              <w:rPr>
                <w:rFonts w:ascii="Verdana" w:hAnsi="Verdana"/>
                <w:sz w:val="16"/>
                <w:szCs w:val="16"/>
                <w:lang w:val="en-GB"/>
              </w:rPr>
            </w:pPr>
            <w:r>
              <w:rPr>
                <w:rFonts w:ascii="Verdana" w:hAnsi="Verdana"/>
                <w:sz w:val="16"/>
                <w:szCs w:val="16"/>
                <w:lang w:val="en-GB"/>
              </w:rPr>
              <w:t>1.40</w:t>
            </w:r>
          </w:p>
        </w:tc>
        <w:tc>
          <w:tcPr>
            <w:tcW w:w="0" w:type="auto"/>
            <w:tcBorders>
              <w:bottom w:val="double" w:sz="4" w:space="0" w:color="auto"/>
            </w:tcBorders>
            <w:vAlign w:val="center"/>
          </w:tcPr>
          <w:p w:rsidR="0009661B" w:rsidRDefault="007064C1" w:rsidP="00D11BA6">
            <w:pPr>
              <w:tabs>
                <w:tab w:val="num" w:pos="540"/>
              </w:tabs>
              <w:jc w:val="center"/>
              <w:rPr>
                <w:rFonts w:ascii="Verdana" w:hAnsi="Verdana"/>
                <w:sz w:val="16"/>
                <w:szCs w:val="16"/>
                <w:lang w:val="en-GB"/>
              </w:rPr>
            </w:pPr>
            <w:r>
              <w:rPr>
                <w:rFonts w:ascii="Verdana" w:hAnsi="Verdana"/>
                <w:sz w:val="16"/>
                <w:szCs w:val="16"/>
                <w:lang w:val="en-GB"/>
              </w:rPr>
              <w:t>6.84***</w:t>
            </w:r>
          </w:p>
        </w:tc>
      </w:tr>
    </w:tbl>
    <w:p w:rsidR="00457606" w:rsidRPr="002B2630" w:rsidRDefault="00457606" w:rsidP="00457606">
      <w:pPr>
        <w:rPr>
          <w:lang w:val="en-GB"/>
        </w:rPr>
      </w:pPr>
    </w:p>
    <w:sectPr w:rsidR="00457606" w:rsidRPr="002B2630" w:rsidSect="00F90DA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FFB" w:rsidRDefault="00A56FFB" w:rsidP="00871120">
      <w:r>
        <w:separator/>
      </w:r>
    </w:p>
  </w:endnote>
  <w:endnote w:type="continuationSeparator" w:id="0">
    <w:p w:rsidR="00A56FFB" w:rsidRDefault="00A56FFB" w:rsidP="0087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vTT5235d5a9">
    <w:panose1 w:val="00000000000000000000"/>
    <w:charset w:val="00"/>
    <w:family w:val="roman"/>
    <w:notTrueType/>
    <w:pitch w:val="default"/>
    <w:sig w:usb0="00000003" w:usb1="00000000" w:usb2="00000000" w:usb3="00000000" w:csb0="00000001" w:csb1="00000000"/>
  </w:font>
  <w:font w:name="AdvTT5235d5a9+fb">
    <w:panose1 w:val="00000000000000000000"/>
    <w:charset w:val="00"/>
    <w:family w:val="auto"/>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729917"/>
      <w:docPartObj>
        <w:docPartGallery w:val="Page Numbers (Bottom of Page)"/>
        <w:docPartUnique/>
      </w:docPartObj>
    </w:sdtPr>
    <w:sdtEndPr/>
    <w:sdtContent>
      <w:p w:rsidR="00DD536E" w:rsidRDefault="00DD536E">
        <w:pPr>
          <w:pStyle w:val="Piedepgina"/>
          <w:jc w:val="right"/>
        </w:pPr>
        <w:r>
          <w:fldChar w:fldCharType="begin"/>
        </w:r>
        <w:r>
          <w:instrText>PAGE   \* MERGEFORMAT</w:instrText>
        </w:r>
        <w:r>
          <w:fldChar w:fldCharType="separate"/>
        </w:r>
        <w:r w:rsidR="0037383A">
          <w:rPr>
            <w:noProof/>
          </w:rPr>
          <w:t>23</w:t>
        </w:r>
        <w:r>
          <w:fldChar w:fldCharType="end"/>
        </w:r>
      </w:p>
    </w:sdtContent>
  </w:sdt>
  <w:p w:rsidR="00DD536E" w:rsidRDefault="00DD53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FFB" w:rsidRDefault="00A56FFB" w:rsidP="00871120">
      <w:r>
        <w:separator/>
      </w:r>
    </w:p>
  </w:footnote>
  <w:footnote w:type="continuationSeparator" w:id="0">
    <w:p w:rsidR="00A56FFB" w:rsidRDefault="00A56FFB" w:rsidP="00871120">
      <w:r>
        <w:continuationSeparator/>
      </w:r>
    </w:p>
  </w:footnote>
  <w:footnote w:id="1">
    <w:p w:rsidR="00DD536E" w:rsidRPr="0092638C" w:rsidRDefault="00DD536E" w:rsidP="00871120">
      <w:pPr>
        <w:pStyle w:val="Textonotapie"/>
        <w:jc w:val="both"/>
        <w:rPr>
          <w:rFonts w:ascii="Verdana" w:hAnsi="Verdana" w:cstheme="minorHAnsi"/>
          <w:sz w:val="16"/>
          <w:szCs w:val="16"/>
          <w:lang w:val="en-US"/>
        </w:rPr>
      </w:pPr>
      <w:r>
        <w:rPr>
          <w:rStyle w:val="Refdenotaalpie"/>
        </w:rPr>
        <w:footnoteRef/>
      </w:r>
      <w:r w:rsidRPr="00E852B1">
        <w:rPr>
          <w:lang w:val="en-US"/>
        </w:rPr>
        <w:t xml:space="preserve"> </w:t>
      </w:r>
      <w:r w:rsidRPr="0092638C">
        <w:rPr>
          <w:rFonts w:ascii="Verdana" w:hAnsi="Verdana" w:cstheme="minorHAnsi"/>
          <w:sz w:val="16"/>
          <w:szCs w:val="16"/>
          <w:lang w:val="en-US"/>
        </w:rPr>
        <w:t>Demirgüç-Kunt and Maksimovic (1999) rely on cross-sectional analysis across countries, taking the time-series country means of each variable as observations.</w:t>
      </w:r>
    </w:p>
  </w:footnote>
  <w:footnote w:id="2">
    <w:p w:rsidR="00DD536E" w:rsidRPr="00E806C0" w:rsidRDefault="00DD536E" w:rsidP="00E806C0">
      <w:pPr>
        <w:pStyle w:val="Textonotapie"/>
        <w:jc w:val="both"/>
        <w:rPr>
          <w:rFonts w:ascii="Verdana" w:hAnsi="Verdana"/>
          <w:sz w:val="16"/>
          <w:szCs w:val="16"/>
          <w:lang w:val="en-US"/>
        </w:rPr>
      </w:pPr>
      <w:r>
        <w:rPr>
          <w:rStyle w:val="Refdenotaalpie"/>
        </w:rPr>
        <w:footnoteRef/>
      </w:r>
      <w:r w:rsidRPr="00E806C0">
        <w:rPr>
          <w:lang w:val="en-US"/>
        </w:rPr>
        <w:t xml:space="preserve"> </w:t>
      </w:r>
      <w:r w:rsidRPr="00E806C0">
        <w:rPr>
          <w:rFonts w:ascii="Verdana" w:hAnsi="Verdana"/>
          <w:sz w:val="16"/>
          <w:szCs w:val="16"/>
          <w:lang w:val="en-US"/>
        </w:rPr>
        <w:t>This is the amount of long-term debt identified by standard accounting convention and traditionally used (Antoniou et al., 2006; Demirgüç-Kunt and Maksimovic, 1999; Fan et al., 2012). Other authors have used alternative definitions. Barclay and Smith (1995) define debt maturity as long-term if it is payable after three years. Stohs and Mauer (1996) use a weighted average of the maturity of liabilities. The papers using alternative measures have reported results that are not significantly different from those obtained when the standard definition is used. Our choice is also driven by data availability.</w:t>
      </w:r>
    </w:p>
  </w:footnote>
  <w:footnote w:id="3">
    <w:p w:rsidR="00DD536E" w:rsidRPr="00153027" w:rsidRDefault="00DD536E" w:rsidP="00153027">
      <w:pPr>
        <w:pStyle w:val="Textonotapie"/>
        <w:jc w:val="both"/>
        <w:rPr>
          <w:lang w:val="en-GB"/>
        </w:rPr>
      </w:pPr>
      <w:r>
        <w:rPr>
          <w:rStyle w:val="Refdenotaalpie"/>
        </w:rPr>
        <w:footnoteRef/>
      </w:r>
      <w:r w:rsidRPr="00153027">
        <w:rPr>
          <w:lang w:val="en-GB"/>
        </w:rPr>
        <w:t xml:space="preserve"> </w:t>
      </w:r>
      <w:r w:rsidRPr="001A6042">
        <w:rPr>
          <w:rFonts w:ascii="Verdana" w:hAnsi="Verdana"/>
          <w:sz w:val="16"/>
          <w:szCs w:val="16"/>
          <w:lang w:val="en-US"/>
        </w:rPr>
        <w:t>We resolve th</w:t>
      </w:r>
      <w:r>
        <w:rPr>
          <w:rFonts w:ascii="Verdana" w:hAnsi="Verdana"/>
          <w:sz w:val="16"/>
          <w:szCs w:val="16"/>
          <w:lang w:val="en-US"/>
        </w:rPr>
        <w:t>e potential problem of endogeneity of leverage</w:t>
      </w:r>
      <w:r w:rsidRPr="001A6042">
        <w:rPr>
          <w:rFonts w:ascii="Verdana" w:hAnsi="Verdana"/>
          <w:sz w:val="16"/>
          <w:szCs w:val="16"/>
          <w:lang w:val="en-US"/>
        </w:rPr>
        <w:t xml:space="preserve"> using instrumental variable estimation</w:t>
      </w:r>
      <w:r>
        <w:rPr>
          <w:rFonts w:ascii="Verdana" w:hAnsi="Verdana"/>
          <w:sz w:val="16"/>
          <w:szCs w:val="16"/>
          <w:lang w:val="en-US"/>
        </w:rPr>
        <w:t xml:space="preserve">, considering </w:t>
      </w:r>
      <w:r w:rsidRPr="001A6042">
        <w:rPr>
          <w:rFonts w:ascii="Verdana" w:hAnsi="Verdana"/>
          <w:sz w:val="16"/>
          <w:szCs w:val="16"/>
          <w:lang w:val="en-US"/>
        </w:rPr>
        <w:t>as instrument</w:t>
      </w:r>
      <w:r>
        <w:rPr>
          <w:rFonts w:ascii="Verdana" w:hAnsi="Verdana"/>
          <w:sz w:val="16"/>
          <w:szCs w:val="16"/>
          <w:lang w:val="en-US"/>
        </w:rPr>
        <w:t xml:space="preserve"> the initial industry average leverage, jointly with other determinants of</w:t>
      </w:r>
      <w:r w:rsidRPr="001A6042">
        <w:rPr>
          <w:rFonts w:ascii="Verdana" w:hAnsi="Verdana"/>
          <w:sz w:val="16"/>
          <w:szCs w:val="16"/>
          <w:lang w:val="en-US"/>
        </w:rPr>
        <w:t xml:space="preserve"> leverage: profitability, growth, tangibility</w:t>
      </w:r>
      <w:r>
        <w:rPr>
          <w:rFonts w:ascii="Verdana" w:hAnsi="Verdana"/>
          <w:sz w:val="16"/>
          <w:szCs w:val="16"/>
          <w:lang w:val="en-US"/>
        </w:rPr>
        <w:t xml:space="preserve"> and</w:t>
      </w:r>
      <w:r w:rsidRPr="001A6042">
        <w:rPr>
          <w:rFonts w:ascii="Verdana" w:hAnsi="Verdana"/>
          <w:sz w:val="16"/>
          <w:szCs w:val="16"/>
          <w:lang w:val="en-US"/>
        </w:rPr>
        <w:t xml:space="preserve"> size (Rajan and Zingales, 1995). </w:t>
      </w:r>
      <w:r>
        <w:rPr>
          <w:rFonts w:ascii="Verdana" w:hAnsi="Verdana"/>
          <w:sz w:val="16"/>
          <w:szCs w:val="16"/>
          <w:lang w:val="en-US"/>
        </w:rPr>
        <w:t xml:space="preserve">The initial average leverage in a firm’s industry is a reasonable instrument for the firm’s leverage, due to the fact that an individual firm’s leverage is correlated with its industry average but it is unlikely that an individual corporate debt maturity is directly driven by the historical industry average leverage other than through its effect on the firm’s leverage. </w:t>
      </w:r>
      <w:r w:rsidRPr="001A6042">
        <w:rPr>
          <w:rFonts w:ascii="Verdana" w:hAnsi="Verdana"/>
          <w:sz w:val="16"/>
          <w:szCs w:val="16"/>
          <w:lang w:val="en-US"/>
        </w:rPr>
        <w:t>Subsequently, we perform a Durbin–Wu–Hausman (DWH) test of overidentifying restrictions for each of the regressions</w:t>
      </w:r>
      <w:r>
        <w:rPr>
          <w:rFonts w:ascii="Verdana" w:hAnsi="Verdana"/>
          <w:sz w:val="16"/>
          <w:szCs w:val="16"/>
          <w:lang w:val="en-US"/>
        </w:rPr>
        <w:t xml:space="preserve"> (reported in the bottom row of each table)</w:t>
      </w:r>
      <w:r w:rsidRPr="001A6042">
        <w:rPr>
          <w:rFonts w:ascii="Verdana" w:hAnsi="Verdana"/>
          <w:sz w:val="16"/>
          <w:szCs w:val="16"/>
          <w:lang w:val="en-US"/>
        </w:rPr>
        <w:t xml:space="preserve">. This test verifies the null hypothesis that the introduction of instrumental variables has no influence on the coefficients of the estimations. When the p value of the F test falls below 10%, the null hypothesis is rejected and the instrumental variable estimations are reported. Otherwise, the estimations with the observed values of </w:t>
      </w:r>
      <w:r>
        <w:rPr>
          <w:rFonts w:ascii="Verdana" w:hAnsi="Verdana"/>
          <w:sz w:val="16"/>
          <w:szCs w:val="16"/>
          <w:lang w:val="en-US"/>
        </w:rPr>
        <w:t>leverage</w:t>
      </w:r>
      <w:r w:rsidRPr="001A6042">
        <w:rPr>
          <w:rFonts w:ascii="Verdana" w:hAnsi="Verdana"/>
          <w:sz w:val="16"/>
          <w:szCs w:val="16"/>
          <w:lang w:val="en-US"/>
        </w:rPr>
        <w:t xml:space="preserve"> are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5E1"/>
    <w:multiLevelType w:val="hybridMultilevel"/>
    <w:tmpl w:val="D15EA5CE"/>
    <w:lvl w:ilvl="0" w:tplc="7DDAA7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75CFD"/>
    <w:multiLevelType w:val="hybridMultilevel"/>
    <w:tmpl w:val="8EC834F8"/>
    <w:lvl w:ilvl="0" w:tplc="FEB40CE2">
      <w:start w:val="4"/>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0F1736C"/>
    <w:multiLevelType w:val="multilevel"/>
    <w:tmpl w:val="740EA0E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BDF4682"/>
    <w:multiLevelType w:val="multilevel"/>
    <w:tmpl w:val="E50C919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332" w:hanging="1440"/>
      </w:pPr>
      <w:rPr>
        <w:rFonts w:hint="default"/>
      </w:rPr>
    </w:lvl>
  </w:abstractNum>
  <w:abstractNum w:abstractNumId="4" w15:restartNumberingAfterBreak="0">
    <w:nsid w:val="72A4485F"/>
    <w:multiLevelType w:val="hybridMultilevel"/>
    <w:tmpl w:val="363C17F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20"/>
    <w:rsid w:val="00002207"/>
    <w:rsid w:val="000052D4"/>
    <w:rsid w:val="00010F3E"/>
    <w:rsid w:val="00046C62"/>
    <w:rsid w:val="000632F9"/>
    <w:rsid w:val="0007452F"/>
    <w:rsid w:val="00077145"/>
    <w:rsid w:val="00090F28"/>
    <w:rsid w:val="0009661B"/>
    <w:rsid w:val="000A1276"/>
    <w:rsid w:val="000A4D24"/>
    <w:rsid w:val="000B1660"/>
    <w:rsid w:val="000F7585"/>
    <w:rsid w:val="0011654B"/>
    <w:rsid w:val="00127E75"/>
    <w:rsid w:val="00153027"/>
    <w:rsid w:val="001532BB"/>
    <w:rsid w:val="00155A0D"/>
    <w:rsid w:val="00156A4D"/>
    <w:rsid w:val="0016556A"/>
    <w:rsid w:val="00190CF3"/>
    <w:rsid w:val="001A06DC"/>
    <w:rsid w:val="001A0D1F"/>
    <w:rsid w:val="001A198B"/>
    <w:rsid w:val="001A4A54"/>
    <w:rsid w:val="001A6042"/>
    <w:rsid w:val="001C73CC"/>
    <w:rsid w:val="001C7537"/>
    <w:rsid w:val="001D3CC1"/>
    <w:rsid w:val="00203517"/>
    <w:rsid w:val="002127E5"/>
    <w:rsid w:val="00224EAD"/>
    <w:rsid w:val="002671B4"/>
    <w:rsid w:val="0029083F"/>
    <w:rsid w:val="0029098F"/>
    <w:rsid w:val="00290CCF"/>
    <w:rsid w:val="00293764"/>
    <w:rsid w:val="00293D47"/>
    <w:rsid w:val="002A644B"/>
    <w:rsid w:val="002B5419"/>
    <w:rsid w:val="002D11A1"/>
    <w:rsid w:val="002E20DA"/>
    <w:rsid w:val="002F1BD1"/>
    <w:rsid w:val="00314174"/>
    <w:rsid w:val="00316B76"/>
    <w:rsid w:val="00326FDE"/>
    <w:rsid w:val="00331B4D"/>
    <w:rsid w:val="00334A00"/>
    <w:rsid w:val="003366C9"/>
    <w:rsid w:val="00360C68"/>
    <w:rsid w:val="0037383A"/>
    <w:rsid w:val="003763DC"/>
    <w:rsid w:val="00376E99"/>
    <w:rsid w:val="00385116"/>
    <w:rsid w:val="003A6694"/>
    <w:rsid w:val="003A6E05"/>
    <w:rsid w:val="003B233D"/>
    <w:rsid w:val="003B2668"/>
    <w:rsid w:val="003B7BC1"/>
    <w:rsid w:val="0040150D"/>
    <w:rsid w:val="0040214A"/>
    <w:rsid w:val="004071B5"/>
    <w:rsid w:val="00417A8D"/>
    <w:rsid w:val="00417C32"/>
    <w:rsid w:val="00424468"/>
    <w:rsid w:val="00434625"/>
    <w:rsid w:val="00436E44"/>
    <w:rsid w:val="00437F49"/>
    <w:rsid w:val="00446E93"/>
    <w:rsid w:val="0045341D"/>
    <w:rsid w:val="00454C36"/>
    <w:rsid w:val="00457606"/>
    <w:rsid w:val="00470EB0"/>
    <w:rsid w:val="00491B18"/>
    <w:rsid w:val="004D1B37"/>
    <w:rsid w:val="004D7832"/>
    <w:rsid w:val="004F3127"/>
    <w:rsid w:val="00520E28"/>
    <w:rsid w:val="00532C43"/>
    <w:rsid w:val="00550479"/>
    <w:rsid w:val="005615A1"/>
    <w:rsid w:val="00563237"/>
    <w:rsid w:val="00564DC7"/>
    <w:rsid w:val="005706D0"/>
    <w:rsid w:val="00574CE1"/>
    <w:rsid w:val="00586A07"/>
    <w:rsid w:val="005B0760"/>
    <w:rsid w:val="005C7E73"/>
    <w:rsid w:val="005D04F6"/>
    <w:rsid w:val="005E2B08"/>
    <w:rsid w:val="005E37BE"/>
    <w:rsid w:val="00605D56"/>
    <w:rsid w:val="00612930"/>
    <w:rsid w:val="00614858"/>
    <w:rsid w:val="00623966"/>
    <w:rsid w:val="00625CFD"/>
    <w:rsid w:val="00630BFF"/>
    <w:rsid w:val="00644B8B"/>
    <w:rsid w:val="00650229"/>
    <w:rsid w:val="00653BFD"/>
    <w:rsid w:val="00674D1B"/>
    <w:rsid w:val="00680FBB"/>
    <w:rsid w:val="00683A45"/>
    <w:rsid w:val="00693BA0"/>
    <w:rsid w:val="006A02C1"/>
    <w:rsid w:val="006A66FC"/>
    <w:rsid w:val="006B2995"/>
    <w:rsid w:val="006E7EFE"/>
    <w:rsid w:val="00700308"/>
    <w:rsid w:val="007064C1"/>
    <w:rsid w:val="00717B2A"/>
    <w:rsid w:val="00773AEB"/>
    <w:rsid w:val="007873AF"/>
    <w:rsid w:val="007A5F41"/>
    <w:rsid w:val="007B22B9"/>
    <w:rsid w:val="007B2698"/>
    <w:rsid w:val="007B6F55"/>
    <w:rsid w:val="007F749D"/>
    <w:rsid w:val="0081669F"/>
    <w:rsid w:val="0082014E"/>
    <w:rsid w:val="008255BE"/>
    <w:rsid w:val="0083248D"/>
    <w:rsid w:val="0083276A"/>
    <w:rsid w:val="00846E39"/>
    <w:rsid w:val="008552EE"/>
    <w:rsid w:val="0086039D"/>
    <w:rsid w:val="00871120"/>
    <w:rsid w:val="00880B86"/>
    <w:rsid w:val="008A118F"/>
    <w:rsid w:val="008B3438"/>
    <w:rsid w:val="008C4539"/>
    <w:rsid w:val="008F6C22"/>
    <w:rsid w:val="009036B8"/>
    <w:rsid w:val="009160F8"/>
    <w:rsid w:val="00923622"/>
    <w:rsid w:val="00923666"/>
    <w:rsid w:val="00924E5A"/>
    <w:rsid w:val="00931274"/>
    <w:rsid w:val="00971CC4"/>
    <w:rsid w:val="00992008"/>
    <w:rsid w:val="009975AF"/>
    <w:rsid w:val="009A29E4"/>
    <w:rsid w:val="009A798E"/>
    <w:rsid w:val="009E0C48"/>
    <w:rsid w:val="009E698C"/>
    <w:rsid w:val="009F02EB"/>
    <w:rsid w:val="009F5643"/>
    <w:rsid w:val="00A0681A"/>
    <w:rsid w:val="00A138C8"/>
    <w:rsid w:val="00A14B33"/>
    <w:rsid w:val="00A22626"/>
    <w:rsid w:val="00A36A67"/>
    <w:rsid w:val="00A5594C"/>
    <w:rsid w:val="00A56FFB"/>
    <w:rsid w:val="00A90642"/>
    <w:rsid w:val="00AB4CE3"/>
    <w:rsid w:val="00AD56BE"/>
    <w:rsid w:val="00B0397D"/>
    <w:rsid w:val="00B11AAD"/>
    <w:rsid w:val="00B17457"/>
    <w:rsid w:val="00B404E6"/>
    <w:rsid w:val="00B4797A"/>
    <w:rsid w:val="00B639C5"/>
    <w:rsid w:val="00B67864"/>
    <w:rsid w:val="00B8330C"/>
    <w:rsid w:val="00B85978"/>
    <w:rsid w:val="00B87661"/>
    <w:rsid w:val="00B919A7"/>
    <w:rsid w:val="00BA4820"/>
    <w:rsid w:val="00BB59B3"/>
    <w:rsid w:val="00BD575B"/>
    <w:rsid w:val="00BE2C8C"/>
    <w:rsid w:val="00BE53FE"/>
    <w:rsid w:val="00C27164"/>
    <w:rsid w:val="00C2787E"/>
    <w:rsid w:val="00C352D7"/>
    <w:rsid w:val="00C37AEA"/>
    <w:rsid w:val="00C64D1F"/>
    <w:rsid w:val="00CA000F"/>
    <w:rsid w:val="00CA0764"/>
    <w:rsid w:val="00CB44F3"/>
    <w:rsid w:val="00CC3C08"/>
    <w:rsid w:val="00CC6549"/>
    <w:rsid w:val="00CD6E56"/>
    <w:rsid w:val="00CE0911"/>
    <w:rsid w:val="00CE4B7B"/>
    <w:rsid w:val="00CF3C9C"/>
    <w:rsid w:val="00CF4FC0"/>
    <w:rsid w:val="00CF68A1"/>
    <w:rsid w:val="00D11BA6"/>
    <w:rsid w:val="00D37A5E"/>
    <w:rsid w:val="00D474E2"/>
    <w:rsid w:val="00D5163A"/>
    <w:rsid w:val="00D539C6"/>
    <w:rsid w:val="00D55369"/>
    <w:rsid w:val="00D64672"/>
    <w:rsid w:val="00DB65AE"/>
    <w:rsid w:val="00DB6BC4"/>
    <w:rsid w:val="00DD536E"/>
    <w:rsid w:val="00DE085D"/>
    <w:rsid w:val="00DE5AC4"/>
    <w:rsid w:val="00DF52B2"/>
    <w:rsid w:val="00E0468A"/>
    <w:rsid w:val="00E135E9"/>
    <w:rsid w:val="00E13B60"/>
    <w:rsid w:val="00E32555"/>
    <w:rsid w:val="00E33EAB"/>
    <w:rsid w:val="00E806C0"/>
    <w:rsid w:val="00EA2622"/>
    <w:rsid w:val="00EA4BB2"/>
    <w:rsid w:val="00EB3FC4"/>
    <w:rsid w:val="00EC1CB5"/>
    <w:rsid w:val="00ED13CE"/>
    <w:rsid w:val="00ED1E5B"/>
    <w:rsid w:val="00F13702"/>
    <w:rsid w:val="00F15711"/>
    <w:rsid w:val="00F30EA2"/>
    <w:rsid w:val="00F3268D"/>
    <w:rsid w:val="00F7031E"/>
    <w:rsid w:val="00F90DA0"/>
    <w:rsid w:val="00F9296B"/>
    <w:rsid w:val="00FA0589"/>
    <w:rsid w:val="00FA2A85"/>
    <w:rsid w:val="00FD539C"/>
    <w:rsid w:val="00FE7A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A32FD-F4DD-4D38-BAF9-7887C390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12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711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871120"/>
    <w:pPr>
      <w:keepNext/>
      <w:spacing w:before="360" w:after="120" w:line="360" w:lineRule="auto"/>
      <w:jc w:val="both"/>
      <w:outlineLvl w:val="1"/>
    </w:pPr>
    <w:rPr>
      <w:b/>
      <w:bCs/>
      <w:i/>
      <w:iCs/>
      <w:snapToGrid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1120"/>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rsid w:val="00871120"/>
    <w:rPr>
      <w:rFonts w:ascii="Times New Roman" w:eastAsia="Times New Roman" w:hAnsi="Times New Roman" w:cs="Times New Roman"/>
      <w:b/>
      <w:bCs/>
      <w:i/>
      <w:iCs/>
      <w:snapToGrid w:val="0"/>
      <w:sz w:val="24"/>
      <w:szCs w:val="24"/>
      <w:lang w:eastAsia="es-ES"/>
    </w:rPr>
  </w:style>
  <w:style w:type="paragraph" w:styleId="Textoindependiente">
    <w:name w:val="Body Text"/>
    <w:basedOn w:val="Normal"/>
    <w:link w:val="TextoindependienteCar"/>
    <w:rsid w:val="00871120"/>
    <w:pPr>
      <w:spacing w:after="120"/>
    </w:pPr>
    <w:rPr>
      <w:snapToGrid w:val="0"/>
      <w:lang w:val="en-GB"/>
    </w:rPr>
  </w:style>
  <w:style w:type="character" w:customStyle="1" w:styleId="TextoindependienteCar">
    <w:name w:val="Texto independiente Car"/>
    <w:basedOn w:val="Fuentedeprrafopredeter"/>
    <w:link w:val="Textoindependiente"/>
    <w:rsid w:val="00871120"/>
    <w:rPr>
      <w:rFonts w:ascii="Times New Roman" w:eastAsia="Times New Roman" w:hAnsi="Times New Roman" w:cs="Times New Roman"/>
      <w:snapToGrid w:val="0"/>
      <w:sz w:val="24"/>
      <w:szCs w:val="24"/>
      <w:lang w:val="en-GB" w:eastAsia="es-ES"/>
    </w:rPr>
  </w:style>
  <w:style w:type="paragraph" w:styleId="Textodeglobo">
    <w:name w:val="Balloon Text"/>
    <w:basedOn w:val="Normal"/>
    <w:link w:val="TextodegloboCar"/>
    <w:unhideWhenUsed/>
    <w:rsid w:val="00871120"/>
    <w:rPr>
      <w:rFonts w:ascii="Tahoma" w:hAnsi="Tahoma" w:cs="Tahoma"/>
      <w:sz w:val="16"/>
      <w:szCs w:val="16"/>
    </w:rPr>
  </w:style>
  <w:style w:type="character" w:customStyle="1" w:styleId="TextodegloboCar">
    <w:name w:val="Texto de globo Car"/>
    <w:basedOn w:val="Fuentedeprrafopredeter"/>
    <w:link w:val="Textodeglobo"/>
    <w:rsid w:val="00871120"/>
    <w:rPr>
      <w:rFonts w:ascii="Tahoma" w:eastAsia="Times New Roman" w:hAnsi="Tahoma" w:cs="Tahoma"/>
      <w:sz w:val="16"/>
      <w:szCs w:val="16"/>
      <w:lang w:eastAsia="es-ES"/>
    </w:rPr>
  </w:style>
  <w:style w:type="paragraph" w:styleId="Piedepgina">
    <w:name w:val="footer"/>
    <w:basedOn w:val="Normal"/>
    <w:link w:val="PiedepginaCar"/>
    <w:rsid w:val="00871120"/>
    <w:pPr>
      <w:tabs>
        <w:tab w:val="center" w:pos="4419"/>
        <w:tab w:val="right" w:pos="8838"/>
      </w:tabs>
    </w:pPr>
    <w:rPr>
      <w:snapToGrid w:val="0"/>
    </w:rPr>
  </w:style>
  <w:style w:type="character" w:customStyle="1" w:styleId="PiedepginaCar">
    <w:name w:val="Pie de página Car"/>
    <w:basedOn w:val="Fuentedeprrafopredeter"/>
    <w:link w:val="Piedepgina"/>
    <w:rsid w:val="00871120"/>
    <w:rPr>
      <w:rFonts w:ascii="Times New Roman" w:eastAsia="Times New Roman" w:hAnsi="Times New Roman" w:cs="Times New Roman"/>
      <w:snapToGrid w:val="0"/>
      <w:sz w:val="24"/>
      <w:szCs w:val="24"/>
      <w:lang w:eastAsia="es-ES"/>
    </w:rPr>
  </w:style>
  <w:style w:type="character" w:styleId="Nmerodepgina">
    <w:name w:val="page number"/>
    <w:basedOn w:val="Fuentedeprrafopredeter"/>
    <w:rsid w:val="00871120"/>
  </w:style>
  <w:style w:type="paragraph" w:styleId="Prrafodelista">
    <w:name w:val="List Paragraph"/>
    <w:basedOn w:val="Normal"/>
    <w:uiPriority w:val="34"/>
    <w:qFormat/>
    <w:rsid w:val="00871120"/>
    <w:pPr>
      <w:ind w:left="720"/>
      <w:contextualSpacing/>
    </w:pPr>
  </w:style>
  <w:style w:type="paragraph" w:styleId="Textonotapie">
    <w:name w:val="footnote text"/>
    <w:basedOn w:val="Normal"/>
    <w:link w:val="TextonotapieCar"/>
    <w:rsid w:val="00871120"/>
    <w:rPr>
      <w:sz w:val="20"/>
      <w:szCs w:val="20"/>
    </w:rPr>
  </w:style>
  <w:style w:type="character" w:customStyle="1" w:styleId="TextonotapieCar">
    <w:name w:val="Texto nota pie Car"/>
    <w:basedOn w:val="Fuentedeprrafopredeter"/>
    <w:link w:val="Textonotapie"/>
    <w:rsid w:val="00871120"/>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1120"/>
    <w:rPr>
      <w:vertAlign w:val="superscript"/>
    </w:rPr>
  </w:style>
  <w:style w:type="paragraph" w:styleId="Textoindependiente2">
    <w:name w:val="Body Text 2"/>
    <w:basedOn w:val="Normal"/>
    <w:link w:val="Textoindependiente2Car"/>
    <w:rsid w:val="00871120"/>
    <w:pPr>
      <w:spacing w:after="120" w:line="480" w:lineRule="auto"/>
    </w:pPr>
    <w:rPr>
      <w:snapToGrid w:val="0"/>
      <w:lang w:val="en-GB"/>
    </w:rPr>
  </w:style>
  <w:style w:type="character" w:customStyle="1" w:styleId="Textoindependiente2Car">
    <w:name w:val="Texto independiente 2 Car"/>
    <w:basedOn w:val="Fuentedeprrafopredeter"/>
    <w:link w:val="Textoindependiente2"/>
    <w:rsid w:val="00871120"/>
    <w:rPr>
      <w:rFonts w:ascii="Times New Roman" w:eastAsia="Times New Roman" w:hAnsi="Times New Roman" w:cs="Times New Roman"/>
      <w:snapToGrid w:val="0"/>
      <w:sz w:val="24"/>
      <w:szCs w:val="24"/>
      <w:lang w:val="en-GB" w:eastAsia="es-ES"/>
    </w:rPr>
  </w:style>
  <w:style w:type="character" w:styleId="Hipervnculo">
    <w:name w:val="Hyperlink"/>
    <w:basedOn w:val="Fuentedeprrafopredeter"/>
    <w:rsid w:val="00871120"/>
    <w:rPr>
      <w:color w:val="0000FF" w:themeColor="hyperlink"/>
      <w:u w:val="single"/>
    </w:rPr>
  </w:style>
  <w:style w:type="character" w:styleId="Refdecomentario">
    <w:name w:val="annotation reference"/>
    <w:basedOn w:val="Fuentedeprrafopredeter"/>
    <w:rsid w:val="00871120"/>
    <w:rPr>
      <w:sz w:val="16"/>
      <w:szCs w:val="16"/>
    </w:rPr>
  </w:style>
  <w:style w:type="paragraph" w:styleId="Textocomentario">
    <w:name w:val="annotation text"/>
    <w:basedOn w:val="Normal"/>
    <w:link w:val="TextocomentarioCar"/>
    <w:rsid w:val="00871120"/>
    <w:rPr>
      <w:sz w:val="20"/>
      <w:szCs w:val="20"/>
    </w:rPr>
  </w:style>
  <w:style w:type="character" w:customStyle="1" w:styleId="TextocomentarioCar">
    <w:name w:val="Texto comentario Car"/>
    <w:basedOn w:val="Fuentedeprrafopredeter"/>
    <w:link w:val="Textocomentario"/>
    <w:rsid w:val="0087112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871120"/>
    <w:rPr>
      <w:b/>
      <w:bCs/>
    </w:rPr>
  </w:style>
  <w:style w:type="character" w:customStyle="1" w:styleId="AsuntodelcomentarioCar">
    <w:name w:val="Asunto del comentario Car"/>
    <w:basedOn w:val="TextocomentarioCar"/>
    <w:link w:val="Asuntodelcomentario"/>
    <w:rsid w:val="00871120"/>
    <w:rPr>
      <w:rFonts w:ascii="Times New Roman" w:eastAsia="Times New Roman" w:hAnsi="Times New Roman" w:cs="Times New Roman"/>
      <w:b/>
      <w:bCs/>
      <w:sz w:val="20"/>
      <w:szCs w:val="20"/>
      <w:lang w:eastAsia="es-ES"/>
    </w:rPr>
  </w:style>
  <w:style w:type="paragraph" w:styleId="Textonotaalfinal">
    <w:name w:val="endnote text"/>
    <w:basedOn w:val="Normal"/>
    <w:link w:val="TextonotaalfinalCar"/>
    <w:rsid w:val="00871120"/>
    <w:rPr>
      <w:sz w:val="20"/>
      <w:szCs w:val="20"/>
    </w:rPr>
  </w:style>
  <w:style w:type="character" w:customStyle="1" w:styleId="TextonotaalfinalCar">
    <w:name w:val="Texto nota al final Car"/>
    <w:basedOn w:val="Fuentedeprrafopredeter"/>
    <w:link w:val="Textonotaalfinal"/>
    <w:rsid w:val="00871120"/>
    <w:rPr>
      <w:rFonts w:ascii="Times New Roman" w:eastAsia="Times New Roman" w:hAnsi="Times New Roman" w:cs="Times New Roman"/>
      <w:sz w:val="20"/>
      <w:szCs w:val="20"/>
      <w:lang w:eastAsia="es-ES"/>
    </w:rPr>
  </w:style>
  <w:style w:type="character" w:styleId="Refdenotaalfinal">
    <w:name w:val="endnote reference"/>
    <w:basedOn w:val="Fuentedeprrafopredeter"/>
    <w:rsid w:val="00871120"/>
    <w:rPr>
      <w:vertAlign w:val="superscript"/>
    </w:rPr>
  </w:style>
  <w:style w:type="paragraph" w:styleId="Encabezado">
    <w:name w:val="header"/>
    <w:basedOn w:val="Normal"/>
    <w:link w:val="EncabezadoCar"/>
    <w:uiPriority w:val="99"/>
    <w:unhideWhenUsed/>
    <w:rsid w:val="00871120"/>
    <w:pPr>
      <w:tabs>
        <w:tab w:val="center" w:pos="4252"/>
        <w:tab w:val="right" w:pos="8504"/>
      </w:tabs>
    </w:pPr>
  </w:style>
  <w:style w:type="character" w:customStyle="1" w:styleId="EncabezadoCar">
    <w:name w:val="Encabezado Car"/>
    <w:basedOn w:val="Fuentedeprrafopredeter"/>
    <w:link w:val="Encabezado"/>
    <w:uiPriority w:val="99"/>
    <w:rsid w:val="0087112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B2F2-A897-440B-8C7B-84140E54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7089</Words>
  <Characters>39350</Characters>
  <Application>Microsoft Office Word</Application>
  <DocSecurity>0</DocSecurity>
  <Lines>1311</Lines>
  <Paragraphs>787</Paragraphs>
  <ScaleCrop>false</ScaleCrop>
  <HeadingPairs>
    <vt:vector size="2" baseType="variant">
      <vt:variant>
        <vt:lpstr>Título</vt:lpstr>
      </vt:variant>
      <vt:variant>
        <vt:i4>1</vt:i4>
      </vt:variant>
    </vt:vector>
  </HeadingPairs>
  <TitlesOfParts>
    <vt:vector size="1" baseType="lpstr">
      <vt:lpstr/>
    </vt:vector>
  </TitlesOfParts>
  <Company>Universidad de Oviedo</Company>
  <LinksUpToDate>false</LinksUpToDate>
  <CharactersWithSpaces>45652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Oviedo</dc:creator>
  <cp:lastModifiedBy>Victor</cp:lastModifiedBy>
  <cp:revision>6</cp:revision>
  <cp:lastPrinted>2017-04-05T14:50:00Z</cp:lastPrinted>
  <dcterms:created xsi:type="dcterms:W3CDTF">2017-04-05T14:10:00Z</dcterms:created>
  <dcterms:modified xsi:type="dcterms:W3CDTF">2017-04-20T09:47:00Z</dcterms:modified>
</cp:coreProperties>
</file>