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6AD" w:rsidRPr="00E82953" w:rsidRDefault="00305D88" w:rsidP="00E82953">
      <w:pPr>
        <w:pStyle w:val="BATitle"/>
      </w:pPr>
      <w:r w:rsidRPr="00E82953">
        <w:t>Adsorption of Native Amino Acids on Nanocrystalline TiO</w:t>
      </w:r>
      <w:r w:rsidRPr="00E82953">
        <w:rPr>
          <w:vertAlign w:val="subscript"/>
        </w:rPr>
        <w:t>2</w:t>
      </w:r>
      <w:r w:rsidRPr="00E82953">
        <w:t>: Physical Chemistry, QSPR</w:t>
      </w:r>
      <w:r w:rsidR="00812B09" w:rsidRPr="00E82953">
        <w:t>,</w:t>
      </w:r>
      <w:r w:rsidRPr="00E82953">
        <w:t xml:space="preserve"> and Theoretical Modeling</w:t>
      </w:r>
    </w:p>
    <w:p w:rsidR="009246AD" w:rsidRDefault="002B20FF" w:rsidP="0001039A">
      <w:pPr>
        <w:pStyle w:val="BBAuthorName"/>
      </w:pPr>
      <w:proofErr w:type="spellStart"/>
      <w:r w:rsidRPr="002B20FF">
        <w:t>Artyom</w:t>
      </w:r>
      <w:proofErr w:type="spellEnd"/>
      <w:r w:rsidRPr="002B20FF">
        <w:t xml:space="preserve"> </w:t>
      </w:r>
      <w:proofErr w:type="spellStart"/>
      <w:r w:rsidRPr="002B20FF">
        <w:t>Shchelokov</w:t>
      </w:r>
      <w:r w:rsidRPr="002B20FF">
        <w:rPr>
          <w:vertAlign w:val="superscript"/>
        </w:rPr>
        <w:t>a</w:t>
      </w:r>
      <w:proofErr w:type="spellEnd"/>
      <w:r w:rsidR="0001039A">
        <w:t xml:space="preserve">, </w:t>
      </w:r>
      <w:proofErr w:type="spellStart"/>
      <w:r w:rsidR="0001039A">
        <w:t>Nadezhda</w:t>
      </w:r>
      <w:proofErr w:type="spellEnd"/>
      <w:r>
        <w:t xml:space="preserve"> </w:t>
      </w:r>
      <w:r w:rsidRPr="00561565">
        <w:rPr>
          <w:noProof/>
        </w:rPr>
        <w:t>Palko</w:t>
      </w:r>
      <w:r w:rsidRPr="00561565">
        <w:rPr>
          <w:noProof/>
          <w:vertAlign w:val="superscript"/>
        </w:rPr>
        <w:t>b</w:t>
      </w:r>
      <w:r w:rsidRPr="002B20FF">
        <w:t xml:space="preserve">, Vladimir </w:t>
      </w:r>
      <w:proofErr w:type="spellStart"/>
      <w:r w:rsidRPr="00561565">
        <w:rPr>
          <w:noProof/>
        </w:rPr>
        <w:t>Potemkin</w:t>
      </w:r>
      <w:r w:rsidRPr="00561565">
        <w:rPr>
          <w:noProof/>
          <w:vertAlign w:val="superscript"/>
        </w:rPr>
        <w:t>a</w:t>
      </w:r>
      <w:r w:rsidRPr="002B20FF">
        <w:rPr>
          <w:vertAlign w:val="superscript"/>
        </w:rPr>
        <w:t>,b</w:t>
      </w:r>
      <w:proofErr w:type="spellEnd"/>
      <w:r w:rsidR="00DE089D" w:rsidRPr="00DE089D">
        <w:rPr>
          <w:vertAlign w:val="superscript"/>
        </w:rPr>
        <w:t>*</w:t>
      </w:r>
      <w:r w:rsidRPr="002B20FF">
        <w:t xml:space="preserve">, Maria </w:t>
      </w:r>
      <w:proofErr w:type="spellStart"/>
      <w:r w:rsidRPr="002B20FF">
        <w:t>Grishina</w:t>
      </w:r>
      <w:r w:rsidRPr="002B20FF">
        <w:rPr>
          <w:vertAlign w:val="superscript"/>
        </w:rPr>
        <w:t>b</w:t>
      </w:r>
      <w:proofErr w:type="spellEnd"/>
      <w:r w:rsidRPr="002B20FF">
        <w:t xml:space="preserve">, Roman </w:t>
      </w:r>
      <w:proofErr w:type="spellStart"/>
      <w:r w:rsidRPr="002B20FF">
        <w:t>Morozov</w:t>
      </w:r>
      <w:r w:rsidRPr="002B20FF">
        <w:rPr>
          <w:vertAlign w:val="superscript"/>
        </w:rPr>
        <w:t>a</w:t>
      </w:r>
      <w:proofErr w:type="spellEnd"/>
      <w:r w:rsidRPr="002B20FF">
        <w:t xml:space="preserve">, Elena </w:t>
      </w:r>
      <w:r w:rsidRPr="00561565">
        <w:rPr>
          <w:noProof/>
        </w:rPr>
        <w:t>Korina</w:t>
      </w:r>
      <w:r w:rsidRPr="00561565">
        <w:rPr>
          <w:noProof/>
          <w:vertAlign w:val="superscript"/>
        </w:rPr>
        <w:t>a</w:t>
      </w:r>
      <w:r w:rsidRPr="002B20FF">
        <w:t xml:space="preserve">, </w:t>
      </w:r>
      <w:proofErr w:type="spellStart"/>
      <w:r w:rsidRPr="002B20FF">
        <w:t>Danil</w:t>
      </w:r>
      <w:proofErr w:type="spellEnd"/>
      <w:r w:rsidRPr="002B20FF">
        <w:t xml:space="preserve"> </w:t>
      </w:r>
      <w:proofErr w:type="spellStart"/>
      <w:r w:rsidRPr="002B20FF">
        <w:t>Uchaev</w:t>
      </w:r>
      <w:r w:rsidRPr="002B20FF">
        <w:rPr>
          <w:vertAlign w:val="superscript"/>
        </w:rPr>
        <w:t>a</w:t>
      </w:r>
      <w:proofErr w:type="spellEnd"/>
      <w:r w:rsidRPr="002B20FF">
        <w:t xml:space="preserve">, Igor </w:t>
      </w:r>
      <w:proofErr w:type="spellStart"/>
      <w:r w:rsidRPr="002B20FF">
        <w:t>Krivtsov</w:t>
      </w:r>
      <w:r w:rsidRPr="002B20FF">
        <w:rPr>
          <w:vertAlign w:val="superscript"/>
        </w:rPr>
        <w:t>a,c</w:t>
      </w:r>
      <w:proofErr w:type="spellEnd"/>
      <w:r w:rsidRPr="002B20FF">
        <w:t xml:space="preserve">, Oleg </w:t>
      </w:r>
      <w:proofErr w:type="spellStart"/>
      <w:r w:rsidRPr="002B20FF">
        <w:t>Bol’shakov</w:t>
      </w:r>
      <w:r w:rsidRPr="002B20FF">
        <w:rPr>
          <w:vertAlign w:val="superscript"/>
        </w:rPr>
        <w:t>a</w:t>
      </w:r>
      <w:proofErr w:type="spellEnd"/>
      <w:r w:rsidRPr="00DE089D">
        <w:rPr>
          <w:vertAlign w:val="superscript"/>
        </w:rPr>
        <w:t>*</w:t>
      </w:r>
    </w:p>
    <w:p w:rsidR="0001039A" w:rsidRPr="0001039A" w:rsidRDefault="0001039A" w:rsidP="0001039A">
      <w:pPr>
        <w:pStyle w:val="BCAuthorAddress"/>
      </w:pPr>
      <w:proofErr w:type="gramStart"/>
      <w:r w:rsidRPr="0001039A">
        <w:rPr>
          <w:vertAlign w:val="superscript"/>
        </w:rPr>
        <w:t>a</w:t>
      </w:r>
      <w:proofErr w:type="gramEnd"/>
      <w:r w:rsidRPr="0001039A">
        <w:t xml:space="preserve"> Nanotechnology Education and Research Center, South Ural State University, 454080 Chelyabinsk, Russia.</w:t>
      </w:r>
    </w:p>
    <w:p w:rsidR="0001039A" w:rsidRPr="0001039A" w:rsidRDefault="0001039A" w:rsidP="0001039A">
      <w:pPr>
        <w:pStyle w:val="BCAuthorAddress"/>
      </w:pPr>
      <w:proofErr w:type="gramStart"/>
      <w:r w:rsidRPr="0001039A">
        <w:rPr>
          <w:vertAlign w:val="superscript"/>
        </w:rPr>
        <w:t>b</w:t>
      </w:r>
      <w:proofErr w:type="gramEnd"/>
      <w:r w:rsidRPr="0001039A">
        <w:t xml:space="preserve"> Laboratory of Computational Modelling of Drugs, South Ural S</w:t>
      </w:r>
      <w:r>
        <w:t>tate University,</w:t>
      </w:r>
      <w:r w:rsidRPr="0001039A">
        <w:t xml:space="preserve"> 454080</w:t>
      </w:r>
      <w:r>
        <w:t xml:space="preserve"> Chelyabinsk</w:t>
      </w:r>
      <w:r w:rsidRPr="0001039A">
        <w:t>, Russia</w:t>
      </w:r>
    </w:p>
    <w:p w:rsidR="009246AD" w:rsidRPr="0001039A" w:rsidRDefault="0001039A" w:rsidP="0001039A">
      <w:pPr>
        <w:pStyle w:val="BCAuthorAddress"/>
      </w:pPr>
      <w:proofErr w:type="gramStart"/>
      <w:r w:rsidRPr="0001039A">
        <w:rPr>
          <w:vertAlign w:val="superscript"/>
        </w:rPr>
        <w:t>c</w:t>
      </w:r>
      <w:proofErr w:type="gramEnd"/>
      <w:r w:rsidRPr="0001039A">
        <w:t xml:space="preserve"> Department of Chemical and Environmental Engineering, University of Oviedo, 33006 Oviedo, Spain.</w:t>
      </w:r>
    </w:p>
    <w:p w:rsidR="0001039A" w:rsidRPr="00041622" w:rsidRDefault="00DE089D" w:rsidP="00DE089D">
      <w:pPr>
        <w:pStyle w:val="BBAuthorName"/>
        <w:rPr>
          <w:i w:val="0"/>
        </w:rPr>
      </w:pPr>
      <w:r>
        <w:br w:type="page"/>
      </w:r>
    </w:p>
    <w:p w:rsidR="0001039A" w:rsidRPr="00E82953" w:rsidRDefault="0001039A" w:rsidP="00E82953">
      <w:pPr>
        <w:pStyle w:val="BDAbstract"/>
      </w:pPr>
      <w:r w:rsidRPr="00E82953">
        <w:lastRenderedPageBreak/>
        <w:t>ABSTRACT</w:t>
      </w:r>
    </w:p>
    <w:p w:rsidR="00683131" w:rsidRPr="00E82953" w:rsidRDefault="00182324" w:rsidP="00E82953">
      <w:pPr>
        <w:pStyle w:val="BDAbstract"/>
      </w:pPr>
      <w:r w:rsidRPr="00E82953">
        <w:t xml:space="preserve">The affinity of biomolecules, such as peptides and proteins, with inorganic surfaces, is a fundamental topic in biotechnology and bionanotechnology. Amino acids are often used as “model” bits of peptides or proteins for studying their properties in different environments, and/or developing functional surfaces. Despite great demand for knowledge about amino acid interactions with metal oxide surfaces, studies on the issue represent a fragmentary picture. In this paper, we describe amino acids adsorption on nanocrystalline anatase systematically at </w:t>
      </w:r>
      <w:r w:rsidRPr="00F20185">
        <w:t>uniform conditions.</w:t>
      </w:r>
      <w:r w:rsidR="00A744EC" w:rsidRPr="00F20185">
        <w:t xml:space="preserve"> Analysis of the Gibbs free adso</w:t>
      </w:r>
      <w:r w:rsidR="00A25CC1">
        <w:t>rption energy indicated</w:t>
      </w:r>
      <w:r w:rsidR="00E537B1" w:rsidRPr="00A25CC1">
        <w:t xml:space="preserve"> how </w:t>
      </w:r>
      <w:r w:rsidR="00A744EC" w:rsidRPr="00F20185">
        <w:t>the aliphatic, aromatic, pola</w:t>
      </w:r>
      <w:r w:rsidR="00A25CC1">
        <w:t>r and charged side chain groups</w:t>
      </w:r>
      <w:r w:rsidR="00A744EC" w:rsidRPr="00F20185">
        <w:t xml:space="preserve"> </w:t>
      </w:r>
      <w:r w:rsidR="00E537B1" w:rsidRPr="00A25CC1">
        <w:t xml:space="preserve">affect </w:t>
      </w:r>
      <w:r w:rsidR="00A744EC" w:rsidRPr="00A25CC1">
        <w:t>the</w:t>
      </w:r>
      <w:r w:rsidR="00A744EC" w:rsidRPr="00F20185">
        <w:t xml:space="preserve"> binding affinity of the amino acids.</w:t>
      </w:r>
      <w:r w:rsidR="00A744EC">
        <w:t xml:space="preserve"> T</w:t>
      </w:r>
      <w:r w:rsidRPr="00E82953">
        <w:t xml:space="preserve">hermodynamic features of the </w:t>
      </w:r>
      <w:r w:rsidRPr="00E82953">
        <w:rPr>
          <w:i/>
        </w:rPr>
        <w:t>L</w:t>
      </w:r>
      <w:r w:rsidRPr="00E82953">
        <w:t xml:space="preserve">-amino acids adsorption receive thorough interpretation with calculated molecular descriptors. </w:t>
      </w:r>
      <w:r w:rsidR="00A744EC" w:rsidRPr="00A744EC">
        <w:t>Theoretical modeling shows amino acids complex with TiO</w:t>
      </w:r>
      <w:r w:rsidR="00A744EC" w:rsidRPr="00A744EC">
        <w:rPr>
          <w:vertAlign w:val="subscript"/>
        </w:rPr>
        <w:t>2</w:t>
      </w:r>
      <w:r w:rsidR="00A744EC" w:rsidRPr="00A744EC">
        <w:t xml:space="preserve"> nanoparticles as zwitterions via ammonium group.</w:t>
      </w:r>
    </w:p>
    <w:p w:rsidR="00041622" w:rsidRPr="00E82953" w:rsidRDefault="00041622" w:rsidP="00E82953">
      <w:pPr>
        <w:pStyle w:val="BGKeywords"/>
      </w:pPr>
      <w:proofErr w:type="gramStart"/>
      <w:r w:rsidRPr="00E82953">
        <w:t xml:space="preserve">KEYWORDS titanium dioxide, anatase, nanoparticles, </w:t>
      </w:r>
      <w:r w:rsidRPr="00A744EC">
        <w:rPr>
          <w:i/>
        </w:rPr>
        <w:t>L</w:t>
      </w:r>
      <w:r w:rsidRPr="00E82953">
        <w:t>-amino acid, adsorption, BET-model, MERA-model.</w:t>
      </w:r>
      <w:proofErr w:type="gramEnd"/>
    </w:p>
    <w:p w:rsidR="00AB34C5" w:rsidRDefault="00DE089D" w:rsidP="00DE089D">
      <w:pPr>
        <w:spacing w:after="0"/>
        <w:jc w:val="left"/>
      </w:pPr>
      <w:r>
        <w:br w:type="page"/>
      </w:r>
    </w:p>
    <w:p w:rsidR="00DE089D" w:rsidRDefault="00DE089D" w:rsidP="00F36B34">
      <w:pPr>
        <w:pStyle w:val="TAMainText"/>
      </w:pPr>
      <w:r w:rsidRPr="00F36B34">
        <w:lastRenderedPageBreak/>
        <w:t>INTRODUCTION</w:t>
      </w:r>
    </w:p>
    <w:p w:rsidR="00EF627A" w:rsidRPr="00F36B34" w:rsidRDefault="00EF627A" w:rsidP="00041622">
      <w:pPr>
        <w:pStyle w:val="TAMainText"/>
        <w:ind w:firstLine="0"/>
      </w:pPr>
    </w:p>
    <w:p w:rsidR="00DE089D" w:rsidRPr="00F36B34" w:rsidRDefault="00DE089D" w:rsidP="00F36B34">
      <w:pPr>
        <w:pStyle w:val="TAMainText"/>
      </w:pPr>
      <w:r w:rsidRPr="00F36B34">
        <w:t>TiO</w:t>
      </w:r>
      <w:r w:rsidRPr="00F36B34">
        <w:rPr>
          <w:vertAlign w:val="subscript"/>
        </w:rPr>
        <w:t>2</w:t>
      </w:r>
      <w:r w:rsidRPr="00F36B34">
        <w:t xml:space="preserve"> is a wide band gap semiconductor, which can be synthesized on the nanometer scale exhibiting unique photoelectroni</w:t>
      </w:r>
      <w:r w:rsidR="00AA099A">
        <w:t>c and photochemical properties</w:t>
      </w:r>
      <w:r w:rsidR="0043042C">
        <w:t>.</w:t>
      </w:r>
      <w:r w:rsidR="009917B5">
        <w:fldChar w:fldCharType="begin" w:fldLock="1"/>
      </w:r>
      <w:r w:rsidR="00773999">
        <w:instrText>ADDIN CSL_CITATION {"citationItems":[{"id":"ITEM-1","itemData":{"DOI":"10.1038/35104607","abstract":"Until now, photovoltaics — the conversion of sunlight to electrical power — has been dominated by solid-state junction devices, often made of silicon. But this dominance is now being challenged by the emergence of a new generation of photovoltaic cells, based, for example, on nanocrystalline materials and conducting polymer films. These offer the prospect of cheap fabrication together with other attractive features, such as flexibility. The phenomenal recent progress in fabricating and characterizing nanocrystalline materials has opened up whole new vistas of opportunity. Contrary to expectation, some of the new devices have strikingly high conversion efficiencies, which compete with those of conventional devices. Here I look into the historical background, and present status and development prospects for this new generation of photoelectrochemical cells.","author":[{"dropping-particle":"","family":"Grätzel M.","given":"","non-dropping-particle":"","parse-names":false,"suffix":""}],"container-title":"Nature","id":"ITEM-1","issued":{"date-parts":[["2001"]]},"page":"338-344","title":"Photoelectrochemical cells","type":"article-journal","volume":"414"},"uris":["http://www.mendeley.com/documents/?uuid=72b4fd8e-3a04-44b6-a849-7871250498c1"]}],"mendeley":{"formattedCitation":"&lt;sup&gt;1&lt;/sup&gt;","plainTextFormattedCitation":"1","previouslyFormattedCitation":"&lt;sup&gt;1&lt;/sup&gt;"},"properties":{"noteIndex":0},"schema":"https://github.com/citation-style-language/schema/raw/master/csl-citation.json"}</w:instrText>
      </w:r>
      <w:r w:rsidR="009917B5">
        <w:fldChar w:fldCharType="separate"/>
      </w:r>
      <w:r w:rsidR="009917B5" w:rsidRPr="009917B5">
        <w:rPr>
          <w:noProof/>
          <w:vertAlign w:val="superscript"/>
        </w:rPr>
        <w:t>1</w:t>
      </w:r>
      <w:r w:rsidR="009917B5">
        <w:fldChar w:fldCharType="end"/>
      </w:r>
      <w:r w:rsidRPr="00F36B34">
        <w:t xml:space="preserve"> It is utilized for photodynamic therapy</w:t>
      </w:r>
      <w:r w:rsidR="0043042C">
        <w:t>,</w:t>
      </w:r>
      <w:r w:rsidR="009917B5">
        <w:fldChar w:fldCharType="begin" w:fldLock="1"/>
      </w:r>
      <w:r w:rsidR="00773999">
        <w:instrText>ADDIN CSL_CITATION {"citationItems":[{"id":"ITEM-1","itemData":{"DOI":"10.1038/bjc.1994.456","ISBN":"0007-0920\\r1532-1827","ISSN":"15321827","PMID":"7981061","abstract":"A photoexcited titanium dioxide surface has a strong ability to decompose water into hydrogen and oxygen. We have studied this effect in order to use it to kill cancer cells in vitro and in vivo. A distinct cell killing effect was observed on cultured T-24 human bladder cancer cells treated with titanium dioxide particles and 300-400 nm UV light irradiation. Titanium dioxide plus UV light also dramatically suppressed the tumour growth of T-24 cells that were implanted in nude mice. Cells cultured on the titanium dioxide electrode were also killed under UV irradiation when the electrode was anodically polarised, suggesting that photogenerated holes are involved in the cell killing. The cell killing effect caused by titanium dioxide particles plus UV light irradiation was significantly hampered in the presence of L-cysteine and catalase, scavengers of hydroxyl radicals and hydrogen peroxide respectively. Transmission electron microscopic observations showed the titanium dioxide particles to be distributed on the cell surface and inside the cells. These results suggest that titanium dioxide particles under UV light irradiation produced photogenerated holes on the surface yielding hydroxyl radicals and hydrogen peroxide inside or outside the cells and the cells were then killed by the action of these highly oxidising molecules. The possible application of photoexcited titanium dioxide particles to cancer treatment as a new anti-cancer modality is discussed.","author":[{"dropping-particle":"","family":"Kubota","given":"Y.","non-dropping-particle":"","parse-names":false,"suffix":""},{"dropping-particle":"","family":"Shuin","given":"T.","non-dropping-particle":"","parse-names":false,"suffix":""},{"dropping-particle":"","family":"Kawasaki","given":"C.","non-dropping-particle":"","parse-names":false,"suffix":""},{"dropping-particle":"","family":"Hosaka","given":"M.","non-dropping-particle":"","parse-names":false,"suffix":""},{"dropping-particle":"","family":"Kitamura","given":"H.","non-dropping-particle":"","parse-names":false,"suffix":""},{"dropping-particle":"","family":"Cai","given":"R.","non-dropping-particle":"","parse-names":false,"suffix":""},{"dropping-particle":"","family":"Sakai","given":"H.","non-dropping-particle":"","parse-names":false,"suffix":""},{"dropping-particle":"","family":"Hashimoto","given":"K.","non-dropping-particle":"","parse-names":false,"suffix":""},{"dropping-particle":"","family":"Fujishima","given":"A.","non-dropping-particle":"","parse-names":false,"suffix":""}],"container-title":"British Journal of Cancer","id":"ITEM-1","issue":"6","issued":{"date-parts":[["1994"]]},"page":"1107-1111","title":"Photokilling of T-24 human bladder cancer cells with titanium dioxide","type":"article-journal","volume":"70"},"uris":["http://www.mendeley.com/documents/?uuid=d916ab56-b8b6-46fe-812d-1c79a8597895"]}],"mendeley":{"formattedCitation":"&lt;sup&gt;2&lt;/sup&gt;","plainTextFormattedCitation":"2","previouslyFormattedCitation":"&lt;sup&gt;2&lt;/sup&gt;"},"properties":{"noteIndex":0},"schema":"https://github.com/citation-style-language/schema/raw/master/csl-citation.json"}</w:instrText>
      </w:r>
      <w:r w:rsidR="009917B5">
        <w:fldChar w:fldCharType="separate"/>
      </w:r>
      <w:r w:rsidR="009917B5" w:rsidRPr="009917B5">
        <w:rPr>
          <w:noProof/>
          <w:vertAlign w:val="superscript"/>
        </w:rPr>
        <w:t>2</w:t>
      </w:r>
      <w:r w:rsidR="009917B5">
        <w:fldChar w:fldCharType="end"/>
      </w:r>
      <w:r w:rsidRPr="00F36B34">
        <w:t xml:space="preserve"> in genera</w:t>
      </w:r>
      <w:r w:rsidR="00F36B34">
        <w:t>ting superhydrophilic surfaces,</w:t>
      </w:r>
      <w:r w:rsidR="009917B5">
        <w:fldChar w:fldCharType="begin" w:fldLock="1"/>
      </w:r>
      <w:r w:rsidR="00773999">
        <w:instrText>ADDIN CSL_CITATION {"citationItems":[{"id":"ITEM-1","itemData":{"DOI":"10.1021/jp002525j","ISBN":"1089-5647","ISSN":"1520-6106","abstract":"The photoinduced surface wettability conversion reactions of ZnO and TiO2 thin films were investigated by means of water contact angle measurement and X-ray photoelectron spectroscopy. Before ultraviolet (UV) illumination, ZnO and TiO2 films exhibited water contact angles of ?109 and ?54°, respectively. UV illumination turned both surfaces to highly hydrophilic with water contact angles smaller than 10°. Storage in the dark reconverted the highly hydrophilic films to their original states. Reversible surface wettability conversion reactions were achieved by alternate UV illumination and storage in the dark on both the films. The similar behaviors of wettability conversion observed on ZnO and TiO2 surfaces suggest that they follow a similar conversion mechanism. Preferential adsorption of water molecules on the photogenerated surface defective sites is ascribed to the formation of highly hydrophilic ZnO and TiO2 surfaces. Achievement of highly hydrophilic ZnO and TiO2 surfaces by high-temperature annealing and Ar+ sputtering provided supporting evidence for the explanation that surface defective sites play crucial roles in causing the surface wettability conversion reactions.\\nThe photoinduced surface wettability conversion reactions of ZnO and TiO2 thin films were investigated by means of water contact angle measurement and X-ray photoelectron spectroscopy. Before ultraviolet (UV) illumination, ZnO and TiO2 films exhibited water contact angles of ?109 and ?54°, respectively. UV illumination turned both surfaces to highly hydrophilic with water contact angles smaller than 10°. Storage in the dark reconverted the highly hydrophilic films to their original states. Reversible surface wettability conversion reactions were achieved by alternate UV illumination and storage in the dark on both the films. The similar behaviors of wettability conversion observed on ZnO and TiO2 surfaces suggest that they follow a similar conversion mechanism. Preferential adsorption of water molecules on the photogenerated surface defective sites is ascribed to the formation of highly hydrophilic ZnO and TiO2 surfaces. Achievement of highly hydrophilic ZnO and TiO2 surfaces by high-temperature annealing and Ar+ sputtering provided supporting evidence for the explanation that surface defective sites play crucial roles in causing the surface wettability conversion reactions.","author":[{"dropping-particle":"","family":"Sun","given":"Ren-De","non-dropping-particle":"","parse-names":false,"suffix":""},{"dropping-particle":"","family":"Nakajima","given":"Akira","non-dropping-particle":"","parse-names":false,"suffix":""},{"dropping-particle":"","family":"Fujishima","given":"Akira","non-dropping-particle":"","parse-names":false,"suffix":""},{"dropping-particle":"","family":"Watanabe","given":"Toshiya","non-dropping-particle":"","parse-names":false,"suffix":""},{"dropping-particle":"","family":"Hashimoto","given":"Kazuhito","non-dropping-particle":"","parse-names":false,"suffix":""}],"container-title":"The Journal of Physical Chemistry B","id":"ITEM-1","issue":"10","issued":{"date-parts":[["2001"]]},"page":"1984-1990","title":"Photoinduced Surface Wettability Conversion of ZnO and TiO &lt;sub&gt;2&lt;/sub&gt; Thin Films","type":"article-journal","volume":"105"},"uris":["http://www.mendeley.com/documents/?uuid=1cab9467-9f7f-4551-b698-30a1c3df6224"]}],"mendeley":{"formattedCitation":"&lt;sup&gt;3&lt;/sup&gt;","plainTextFormattedCitation":"3","previouslyFormattedCitation":"&lt;sup&gt;3&lt;/sup&gt;"},"properties":{"noteIndex":0},"schema":"https://github.com/citation-style-language/schema/raw/master/csl-citation.json"}</w:instrText>
      </w:r>
      <w:r w:rsidR="009917B5">
        <w:fldChar w:fldCharType="separate"/>
      </w:r>
      <w:r w:rsidR="009917B5" w:rsidRPr="009917B5">
        <w:rPr>
          <w:noProof/>
          <w:vertAlign w:val="superscript"/>
        </w:rPr>
        <w:t>3</w:t>
      </w:r>
      <w:r w:rsidR="009917B5">
        <w:fldChar w:fldCharType="end"/>
      </w:r>
      <w:r w:rsidRPr="00F36B34">
        <w:t xml:space="preserve"> as well as in a new generation</w:t>
      </w:r>
      <w:r w:rsidR="00F36B34">
        <w:t xml:space="preserve"> of transistors and biosensors.</w:t>
      </w:r>
      <w:r w:rsidR="009917B5">
        <w:fldChar w:fldCharType="begin" w:fldLock="1"/>
      </w:r>
      <w:r w:rsidR="00773999">
        <w:instrText>ADDIN CSL_CITATION {"citationItems":[{"id":"ITEM-1","itemData":{"DOI":"10.1016/S0167-5729(02)00100-0","ISBN":"0167-5729","ISSN":"01675729","PMID":"26783631","abstract":"Titanium dioxide is the most investigated single-crystalline system in the surface science of metal oxides, and the literature on rutile (110), (100), (001), and anatase surfaces is reviewed. This paper starts with a summary of the wide variety of technical fields where TiO2 is of importance. The bulk structure and bulk defects (as far as relevant to the surface properties) are briefly reviewed. Rules to predict stable oxide surfaces are exemplified on rutile (110). The surface structure of rutile (110) is discussed in some detail. Theoretically predicted and experimentally determined relaxations of surface geometries are compared, and defects (step edge orientations, point and line defects, impurities, surface manifestations of crystallographic shear planes—CSPs) are discussed, as well as the image contrast in scanning tunneling microscopy (STM). The controversy about the correct model for the (1×2) reconstruction appears to be settled. Different surface preparation methods, such as reoxidation of reduced crystals, can cause a drastic effect on surface geometries and morphology, and recommendations for preparing different TiO2(110) surfaces are given. The structure of the TiO2(100)-(1×1) surface is discussed and the proposed models for the (1×3) reconstruction are critically reviewed. Very recent results on anatase (100) and (101) surfaces are included. The electronic structure of stoichiometric TiO2 surfaces is now well understood. Surface defects can be detected with a variety of surface spectroscopies. The vibrational structure is dominated by strong Fuchs–Kliewer phonons, and high-resolution electron energy loss spectra often need to be deconvoluted in order to render useful information about adsorbed molecules. The growth of metals (Li, Na, K, Cs, Ca, Al, Ti, V, Nb, Cr, Mo, Mn, Fe, Co, Rh, Ir, Ni, Pd, Pt, Cu, Ag, Au) as well as some metal oxides on TiO2 is reviewed. The tendency to ‘wet’ the overlayer, the growth morphology, the epitaxial relationship, and the strength of the interfacial oxidation/reduction reaction all follow clear trends across the periodic table, with the reactivity of the overlayer metal towards oxygen being the most decisive factor. Alkali atoms form ordered superstructures at low coverages. Recent progress in understanding the surface structure of metals in the ‘strong-metal support interaction’ (SMSI) state is summarized. Literature is reviewed on the adsorption and reaction of a wide variety of inorganic molecules (H2, O2,…","author":[{"dropping-particle":"","family":"Diebold","given":"Ulrike","non-dropping-particle":"","parse-names":false,"suffix":""}],"container-title":"Surface Science Reports","id":"ITEM-1","issue":"5-8","issued":{"date-parts":[["2003"]]},"page":"53-229","title":"The surface science of titanium dioxide","type":"article-journal","volume":"48"},"uris":["http://www.mendeley.com/documents/?uuid=fe2b0d9d-dbad-4b93-ad2c-4453bc1c65ce"]},{"id":"ITEM-2","itemData":{"DOI":"10.1039/b003313h","ISBN":"0301-7249","ISSN":"1359-6640","PMID":"11197489","abstract":"We have investigated the use of nanoporous TiO2 films as substrates for protein immobilisation. Such films are of interest due to their high surface area, optical transparency, electrochemical activity and ease of fabrication. These films moreover allow detailed spectroscopic study of protein/electrode electron transfer processes. We find that protein immobilisation on such films may be readily achieved from aqueous solutions at 4 degrees C with a high binding stability and no detectable protein denaturation. The nanoporous structure of the film greatly enhances the active surface area available for protein binding (by a factor of up to 850 for an 8 microns thick film). We demonstrate that the redox state of proteins such as immobilised cytochrome-c (Cyt-c) and haemoglobin (Hb) may be modulated by the application of an electrical bias potential to the TiO2 film, without the addition of electron transfer mediators. The binding of Cyt-c on the TiO2 films is investigated as a function of film thickness, protein concentration, protein surface charge and ionic strength. We demonstrate the potential use of immobilised Hb on such TiO2 films for the detection of dissolved CO in aqueous solutions. We further show that protein/electrode electron transfer may be initiated by UV bandgap excitation of the TiO2 electrode. Both photooxidation and photoreduction of the immobilised proteins can be achieved. By employing pulsed UV laser excitation, the interfacial electron transfer kinetics can be monitored by transient optical spectroscopy, providing a novel probe of protein/electrode electron transfer kinetics. We conclude that nanoporous TiO2 films may be useful both for basic studies of protein/electrode interactions and for the development of novel bioanalytical devices such as biosensors.","author":[{"dropping-particle":"","family":"Topoglidis","given":"E","non-dropping-particle":"","parse-names":false,"suffix":""},{"dropping-particle":"","family":"Lutz","given":"T","non-dropping-particle":"","parse-names":false,"suffix":""},{"dropping-particle":"","family":"Willis","given":"R L","non-dropping-particle":"","parse-names":false,"suffix":""},{"dropping-particle":"","family":"Barnett","given":"C J","non-dropping-particle":"","parse-names":false,"suffix":""},{"dropping-particle":"","family":"Cass","given":"a E","non-dropping-particle":"","parse-names":false,"suffix":""},{"dropping-particle":"","family":"Durrant","given":"J R","non-dropping-particle":"","parse-names":false,"suffix":""}],"container-title":"Faraday discussions","id":"ITEM-2","issue":"116","issued":{"date-parts":[["2000"]]},"page":"35-46; discussion 67-75","title":"Protein adsorption on nanoporous TiO2 films: a novel approach to studying photoinduced protein/electrode transfer reactions.","type":"article-journal"},"uris":["http://www.mendeley.com/documents/?uuid=80eb21a1-6dfd-4672-babd-ff2b6501bb62"]}],"mendeley":{"formattedCitation":"&lt;sup&gt;4,5&lt;/sup&gt;","plainTextFormattedCitation":"4,5","previouslyFormattedCitation":"&lt;sup&gt;4,5&lt;/sup&gt;"},"properties":{"noteIndex":0},"schema":"https://github.com/citation-style-language/schema/raw/master/csl-citation.json"}</w:instrText>
      </w:r>
      <w:r w:rsidR="009917B5">
        <w:fldChar w:fldCharType="separate"/>
      </w:r>
      <w:r w:rsidR="009917B5" w:rsidRPr="009917B5">
        <w:rPr>
          <w:noProof/>
          <w:vertAlign w:val="superscript"/>
        </w:rPr>
        <w:t>4,5</w:t>
      </w:r>
      <w:r w:rsidR="009917B5">
        <w:fldChar w:fldCharType="end"/>
      </w:r>
      <w:r w:rsidRPr="00F36B34">
        <w:t xml:space="preserve"> Functional biomolecular coatings such as proteins and peptides that are strongly and specifically adsorbed to the oxide may further advance the development of TiO</w:t>
      </w:r>
      <w:r w:rsidRPr="00F36B34">
        <w:rPr>
          <w:vertAlign w:val="subscript"/>
        </w:rPr>
        <w:t>2</w:t>
      </w:r>
      <w:r w:rsidRPr="00F36B34">
        <w:t>-based nanobiotechnological applications.</w:t>
      </w:r>
    </w:p>
    <w:p w:rsidR="00062F95" w:rsidRDefault="00DE089D" w:rsidP="006B0B5C">
      <w:pPr>
        <w:pStyle w:val="TAMainText"/>
      </w:pPr>
      <w:r w:rsidRPr="00F36B34">
        <w:t>In the field of biotechnology immobilization of biomolecules onto solid supports</w:t>
      </w:r>
      <w:r w:rsidR="00AF46B7">
        <w:t>, such as TiO</w:t>
      </w:r>
      <w:r w:rsidR="00AF46B7" w:rsidRPr="00AF46B7">
        <w:rPr>
          <w:vertAlign w:val="subscript"/>
        </w:rPr>
        <w:t>2</w:t>
      </w:r>
      <w:r w:rsidR="00AF46B7" w:rsidRPr="00AF46B7">
        <w:t>,</w:t>
      </w:r>
      <w:r w:rsidRPr="00F36B34">
        <w:t xml:space="preserve"> is mandatory to obtain a biologically functional material. The production of stable, functional and high surface density molecular films to improve </w:t>
      </w:r>
      <w:r w:rsidRPr="00F36B34">
        <w:rPr>
          <w:i/>
        </w:rPr>
        <w:t>in situ</w:t>
      </w:r>
      <w:r w:rsidRPr="00F36B34">
        <w:t xml:space="preserve"> performance is strongly required for all biotechnological applications, ranging from bi</w:t>
      </w:r>
      <w:r w:rsidR="00F36B34">
        <w:t>osensors to tissue engineering.</w:t>
      </w:r>
      <w:r w:rsidR="00281C77">
        <w:fldChar w:fldCharType="begin" w:fldLock="1"/>
      </w:r>
      <w:r w:rsidR="00773999">
        <w:instrText>ADDIN CSL_CITATION {"citationItems":[{"id":"ITEM-1","itemData":{"DOI":"10.1021/la990024n","ISBN":"0743-7463","ISSN":"0743-7463","abstract":"Silicon and titanium oxide surfaces (SiO&lt;sub&gt;2&lt;/sub&gt;/Si and TiO&lt;sub&gt;2&lt;/sub&gt;/Ti) were covalently modified with bioactive molecules (e.g., peptides) in a simple three-step procedure. Bioactive surfaces were synthesized by first immobilizing N-(2-aminoethyl)-3-aminopropyl-trimethoxysilane (EDS) to either polished quartz disks, polished silicon wafers, or sputter-deposited titanium films. Subsequently, a maleimide-activated surface amenable to tethering molecules with a free thiol (e.g., cysteine) was created by coupling sulfosuccinimidyl 4-(N-maleimidomethyl) cyclohexane-1-carboxylate (sulfo-SMCC) to the terminal amine on EDS. In particular, Cys-Gly-Gly-Asn-Gly-Glu-Pro-Arg-Gly-Asp-Thr-Tyr-Arg-Ala-Tyr (-RGD-) and Cys-Gly-Gly-Phe-His-Arg-Arg-Ile-Lys-Ala (-FHRRIKA-) peptides with terminal cysteine residues were immobilized on maleimide-activated oxides. X-ray photoelectron spectroscopy (XPS) and spectroscopic ellipsometry were used to assess the chemistry, thickness, and surface density of the grafted layers. EDS deposited from anhydrous methanol produced reaction site-limited monolayers (approximately 0.28 nmol/cm&lt;sup&gt;2&lt;/sup&gt;). Coupling of the sulfo-SMCC cross-linker (approximately 0.03 nmol/cm&lt;sup&gt;2&lt;/sup&gt;) and peptides (approximately 40.004 nmol/cm&lt;sup&gt;2&lt;/sup&gt;) resulted in an order of magnitude drop in surface density for each stage of the reaction scheme. Peptide-modified surfaces with densities varying over 2 orders (0.01-4 pmol/cm&lt;sup&gt;2&lt;/sup&gt;) of magnitude were synthesized to study the effect of the peptides on mammalian cell function. The adhesion and spreading of cells derived from mammalian bone, in contact with the peptide-modified surfaces, was dependent on the specific peptide sequence grafted in a concentration-dependent manner. The grafting scheme presented has generality in coupling thiol-specific molecules to silicon or titanium surfaces.","author":[{"dropping-particle":"","family":"Rezania","given":"A","non-dropping-particle":"","parse-names":false,"suffix":""},{"dropping-particle":"","family":"Johnson","given":"R","non-dropping-particle":"","parse-names":false,"suffix":""},{"dropping-particle":"","family":"Lefkow","given":"A R","non-dropping-particle":"","parse-names":false,"suffix":""},{"dropping-particle":"","family":"Healy","given":"K E","non-dropping-particle":"","parse-names":false,"suffix":""}],"container-title":"Langmuir","id":"ITEM-1","issue":"20","issued":{"date-parts":[["1999"]]},"page":"6931-6939","title":"Bioactivation of metal oxide surfaces. 1. Surface characterization and cell response","type":"article-journal","volume":"15"},"uris":["http://www.mendeley.com/documents/?uuid=daacc885-3540-4044-a7ce-0d37a010345f"]}],"mendeley":{"formattedCitation":"&lt;sup&gt;6&lt;/sup&gt;","plainTextFormattedCitation":"6","previouslyFormattedCitation":"&lt;sup&gt;6&lt;/sup&gt;"},"properties":{"noteIndex":0},"schema":"https://github.com/citation-style-language/schema/raw/master/csl-citation.json"}</w:instrText>
      </w:r>
      <w:r w:rsidR="00281C77">
        <w:fldChar w:fldCharType="separate"/>
      </w:r>
      <w:r w:rsidR="00281C77" w:rsidRPr="00281C77">
        <w:rPr>
          <w:noProof/>
          <w:vertAlign w:val="superscript"/>
        </w:rPr>
        <w:t>6</w:t>
      </w:r>
      <w:r w:rsidR="00281C77">
        <w:fldChar w:fldCharType="end"/>
      </w:r>
      <w:r w:rsidRPr="00F36B34">
        <w:t xml:space="preserve"> For medical implants in the human body, titanium is a very important inorganic implant mater</w:t>
      </w:r>
      <w:r w:rsidR="00F36B34">
        <w:t>ial.</w:t>
      </w:r>
      <w:r w:rsidR="00281C77">
        <w:fldChar w:fldCharType="begin" w:fldLock="1"/>
      </w:r>
      <w:r w:rsidR="00773999">
        <w:instrText>ADDIN CSL_CITATION {"citationItems":[{"id":"ITEM-1","itemData":{"DOI":"10.1007/BF02363944","ISBN":"0090-6964","ISSN":"00906964","abstract":"The interface zone between titanium implants and bone is considered at the macroscopic, microscopic, and molecular levels. A high rate of successful dental implants of pure titanium is associated with a very close apposition of the bone to the titanium surface, called osseointegration. At the macroscopic level, osseointegration allows efficient stress transfer from the implant to the bone without abrasion or progressive movement that can take place if a fibrous layer intervenes. At the microscopic level, surface roughness and porosity provide interlocking of the implant and bone tissue which grows into direct contact with titanium. Sections studied in the electron microscope show that calcified tissue can be identified within 50 Å of the implant surface. The interface zone includes a tightly adherent titanium oxide layer on the surface of the implant which may be similar to a ceramic material in relation to tissue response. The five year success rate of 90% in 2895 implants in clinical trials since 1965 is associated with the favorable behavior of bone tissue at the interface zone with pure titanium.","author":[{"dropping-particle":"","family":"Albrektsson","given":"Tomas","non-dropping-particle":"","parse-names":false,"suffix":""},{"dropping-particle":"","family":"Brånemark","given":"P. I.","non-dropping-particle":"","parse-names":false,"suffix":""},{"dropping-particle":"","family":"Hansson","given":"Hans Arne","non-dropping-particle":"","parse-names":false,"suffix":""},{"dropping-particle":"","family":"Kasemo","given":"Bengt","non-dropping-particle":"","parse-names":false,"suffix":""},{"dropping-particle":"","family":"Larsson","given":"Kåre","non-dropping-particle":"","parse-names":false,"suffix":""},{"dropping-particle":"","family":"Lundström","given":"Ingmar","non-dropping-particle":"","parse-names":false,"suffix":""},{"dropping-particle":"","family":"McQueen","given":"Douglas H.","non-dropping-particle":"","parse-names":false,"suffix":""},{"dropping-particle":"","family":"Skalak","given":"Richard","non-dropping-particle":"","parse-names":false,"suffix":""}],"container-title":"Annals of Biomedical Engineering","id":"ITEM-1","issue":"1","issued":{"date-parts":[["1983"]]},"page":"1-27","title":"The interface zone of inorganic implants In vivo: Titanium implants in bone","type":"article-journal","volume":"11"},"uris":["http://www.mendeley.com/documents/?uuid=8eb0c6d8-d742-4ca5-a650-df1a2c4ed332"]}],"mendeley":{"formattedCitation":"&lt;sup&gt;7&lt;/sup&gt;","plainTextFormattedCitation":"7","previouslyFormattedCitation":"&lt;sup&gt;7&lt;/sup&gt;"},"properties":{"noteIndex":0},"schema":"https://github.com/citation-style-language/schema/raw/master/csl-citation.json"}</w:instrText>
      </w:r>
      <w:r w:rsidR="00281C77">
        <w:fldChar w:fldCharType="separate"/>
      </w:r>
      <w:r w:rsidR="00281C77" w:rsidRPr="00281C77">
        <w:rPr>
          <w:noProof/>
          <w:vertAlign w:val="superscript"/>
        </w:rPr>
        <w:t>7</w:t>
      </w:r>
      <w:r w:rsidR="00281C77">
        <w:fldChar w:fldCharType="end"/>
      </w:r>
    </w:p>
    <w:p w:rsidR="00DE089D" w:rsidRDefault="00DE089D" w:rsidP="006B0B5C">
      <w:pPr>
        <w:pStyle w:val="TAMainText"/>
      </w:pPr>
      <w:r w:rsidRPr="00F36B34">
        <w:t>The interplay of titanium dioxide surfaces and biomolecules is of great interest in biomineralization, where composite materials are formed, which have mechanical propert</w:t>
      </w:r>
      <w:r w:rsidR="00F36B34">
        <w:t>ies superior to the inorganics.</w:t>
      </w:r>
      <w:r w:rsidR="00281C77">
        <w:fldChar w:fldCharType="begin" w:fldLock="1"/>
      </w:r>
      <w:r w:rsidR="00773999">
        <w:instrText>ADDIN CSL_CITATION {"citationItems":[{"id":"ITEM-1","itemData":{"DOI":"10.2113/0540001","ISBN":"1529-6466","ISSN":"1529-6466","PMID":"11459040","abstract":"Biomineralization links soft organic tissues, which are compositionally akin to the atmosphere and oceans, with the hard materials of the solid Earth. It provides organisms with skeletons and shells while they are alive, and when they die these are deposited as sediment in environments from river plains to the deep ocean floor. It is also these hard, resistant products of life which are mainly responsible for the Earths fossil record. Consequently, biomineralization involves biologists, chemists, and geologists in interdisciplinary studies at one of the interfaces between Earth and life.","author":[{"dropping-particle":"","family":"Weiner","given":"S.","non-dropping-particle":"","parse-names":false,"suffix":""}],"container-title":"Reviews in Mineralogy and Geochemistry","id":"ITEM-1","issue":"1","issued":{"date-parts":[["2003"]]},"page":"1-29","title":"An Overview of Biomineralization Processes and the Problem of the Vital Effect","type":"article-journal","volume":"54"},"uris":["http://www.mendeley.com/documents/?uuid=cfd4dc37-a5fe-450c-b98d-7ae7a711c719"]}],"mendeley":{"formattedCitation":"&lt;sup&gt;8&lt;/sup&gt;","plainTextFormattedCitation":"8","previouslyFormattedCitation":"&lt;sup&gt;8&lt;/sup&gt;"},"properties":{"noteIndex":0},"schema":"https://github.com/citation-style-language/schema/raw/master/csl-citation.json"}</w:instrText>
      </w:r>
      <w:r w:rsidR="00281C77">
        <w:fldChar w:fldCharType="separate"/>
      </w:r>
      <w:r w:rsidR="00281C77" w:rsidRPr="00281C77">
        <w:rPr>
          <w:noProof/>
          <w:vertAlign w:val="superscript"/>
        </w:rPr>
        <w:t>8</w:t>
      </w:r>
      <w:r w:rsidR="00281C77">
        <w:fldChar w:fldCharType="end"/>
      </w:r>
      <w:r w:rsidRPr="00F36B34">
        <w:t xml:space="preserve"> Single amino acids may determine the surface orientations of</w:t>
      </w:r>
      <w:r w:rsidR="00F36B34">
        <w:t xml:space="preserve"> titanium dioxide nanocrystals.</w:t>
      </w:r>
      <w:r w:rsidR="00281C77">
        <w:fldChar w:fldCharType="begin" w:fldLock="1"/>
      </w:r>
      <w:r w:rsidR="00773999">
        <w:instrText>ADDIN CSL_CITATION {"citationItems":[{"id":"ITEM-1","itemData":{"DOI":"10.1021/cg060405g","ISBN":"1528-7483","ISSN":"1528-7483","abstract":"Crystalline titanium dioxide particles were obtained through the thermohydrolysis at 60 C of an aqueous TiCl4 precursor in the presence of various amino acids. These protein building blocks were employed to modify the phase distribution, size, and shape of the formed nanoparticles. The consequences of the presence of biological species during the different steps of the inorganic condensation were characterized by a variety of techniques, including X-ray diffraction, transmission electron microscopy, and thermogravimetric analysis coupled with differential scanning calorimetry. The amino acid side chain functions were shown to be of particular importance in regard to the modification of the TiO2 structure and morphology. More specifically, aspartic acid, glutamic acid, and serine allowed the formation of pure anatase nanoparticles. The pH of the reacting solution also proved to be a relevant parameter to control the particle size and shape. Explanations based on the actual knowledge on the titania/amino acids interface were proposed for every observed modification.","author":[{"dropping-particle":"","family":"Durupthy","given":"Olivier","non-dropping-particle":"","parse-names":false,"suffix":""},{"dropping-particle":"","family":"Bill","given":"Joachim","non-dropping-particle":"","parse-names":false,"suffix":""},{"dropping-particle":"","family":"Aldinger","given":"Fritz","non-dropping-particle":"","parse-names":false,"suffix":""}],"container-title":"Crystal Growth Design","id":"ITEM-1","issue":"12","issued":{"date-parts":[["2007"]]},"page":"2696-2704","title":"Bioinspired Synthesis of Crystalline TiO 2 : Effect of Amino Acids on Nanoparticles Structure and Shape","type":"article-journal","volume":"7"},"uris":["http://www.mendeley.com/documents/?uuid=bb71495e-27f2-445f-9203-e936d3be0356"]},{"id":"ITEM-2","itemData":{"DOI":"10.1021/jp803354z","author":[{"dropping-particle":"","family":"Köppen","given":"Susan","non-dropping-particle":"","parse-names":false,"suffix":""},{"dropping-particle":"","family":"Bronkalla","given":"Oliver","non-dropping-particle":"","parse-names":false,"suffix":""},{"dropping-particle":"","family":"Langel","given":"Walter","non-dropping-particle":"","parse-names":false,"suffix":""}],"container-title":"J. Phys.Chem. C","id":"ITEM-2","issued":{"date-parts":[["2008"]]},"page":"13600-13606","title":"Adsorption Configurations and Energies of Amino Acids on Anatase and Rutile Surfaces Adsorption Configurations and Energies of Amino Acids on Anatase and Rutile Surfaces","type":"article-journal","volume":"112"},"uris":["http://www.mendeley.com/documents/?uuid=e42f0b62-92f2-4d1b-8f3f-2cc99dd5f337"]}],"mendeley":{"formattedCitation":"&lt;sup&gt;9,10&lt;/sup&gt;","plainTextFormattedCitation":"9,10","previouslyFormattedCitation":"&lt;sup&gt;9,10&lt;/sup&gt;"},"properties":{"noteIndex":0},"schema":"https://github.com/citation-style-language/schema/raw/master/csl-citation.json"}</w:instrText>
      </w:r>
      <w:r w:rsidR="00281C77">
        <w:fldChar w:fldCharType="separate"/>
      </w:r>
      <w:r w:rsidR="00281C77" w:rsidRPr="00281C77">
        <w:rPr>
          <w:noProof/>
          <w:vertAlign w:val="superscript"/>
        </w:rPr>
        <w:t>9,10</w:t>
      </w:r>
      <w:r w:rsidR="00281C77">
        <w:fldChar w:fldCharType="end"/>
      </w:r>
      <w:r w:rsidRPr="00F36B34">
        <w:t xml:space="preserve"> Small peptides with 10 to 20</w:t>
      </w:r>
      <w:r w:rsidR="00F36B34">
        <w:t xml:space="preserve"> amino acids control </w:t>
      </w:r>
      <w:r w:rsidR="008E59E0">
        <w:t xml:space="preserve">the </w:t>
      </w:r>
      <w:r w:rsidR="00F36B34">
        <w:t>nucleation</w:t>
      </w:r>
      <w:r w:rsidR="00281C77">
        <w:fldChar w:fldCharType="begin" w:fldLock="1"/>
      </w:r>
      <w:r w:rsidR="00773999">
        <w:instrText>ADDIN CSL_CITATION {"citationItems":[{"id":"ITEM-1","itemData":{"DOI":"10.1073/pnas.82.12.4110","ISBN":"0027-8424","ISSN":"0027-8424","PMID":"3858868","abstract":"Acidic matrix macromolecules are intimately involved in biological crystal growth. In vitro experiments, in which crystals of calcium dicarboxylate salts were grown in the presence of aspartic acid-rich proteins, revealed a stereochemical property common to all the interacting faces. Calcite crystals are nucleated on stereochemically analogous faces when proteins are adsorbed onto a rigid substrate. The importance of this property in biomineralization is discussed.","author":[{"dropping-particle":"","family":"Addadi","given":"L","non-dropping-particle":"","parse-names":false,"suffix":""},{"dropping-particle":"","family":"Weiner","given":"S","non-dropping-particle":"","parse-names":false,"suffix":""}],"container-title":"Proceedings of the National Academy of Sciences","id":"ITEM-1","issue":"12","issued":{"date-parts":[["1985"]]},"page":"4110-4114","title":"Interactions between acidic proteins and crystals: stereochemical requirements in biomineralization.","type":"article-journal","volume":"82"},"uris":["http://www.mendeley.com/documents/?uuid=04e5f464-e83c-4565-98ac-7547bbd0cfd2"]}],"mendeley":{"formattedCitation":"&lt;sup&gt;11&lt;/sup&gt;","plainTextFormattedCitation":"11","previouslyFormattedCitation":"&lt;sup&gt;11&lt;/sup&gt;"},"properties":{"noteIndex":0},"schema":"https://github.com/citation-style-language/schema/raw/master/csl-citation.json"}</w:instrText>
      </w:r>
      <w:r w:rsidR="00281C77">
        <w:fldChar w:fldCharType="separate"/>
      </w:r>
      <w:r w:rsidR="00281C77" w:rsidRPr="00281C77">
        <w:rPr>
          <w:noProof/>
          <w:vertAlign w:val="superscript"/>
        </w:rPr>
        <w:t>11</w:t>
      </w:r>
      <w:r w:rsidR="00281C77">
        <w:fldChar w:fldCharType="end"/>
      </w:r>
      <w:r w:rsidRPr="00F36B34">
        <w:t xml:space="preserve"> and structural formation of minerals and provide molecular scaffolds i</w:t>
      </w:r>
      <w:r w:rsidR="00F36B34">
        <w:t>n the formation of hard tissue.</w:t>
      </w:r>
      <w:r w:rsidR="00281C77">
        <w:fldChar w:fldCharType="begin" w:fldLock="1"/>
      </w:r>
      <w:r w:rsidR="00773999">
        <w:instrText>ADDIN CSL_CITATION {"citationItems":[{"id":"ITEM-1","itemData":{"DOI":"10.1093/bioinformatics/btm436","ISBN":"1367-4803","ISSN":"13674803","PMID":"17875545","abstract":"MOTIVATION The discovery of solid-binding peptide sequences is accelerating along with their practical applications in biotechnology and materials sciences. A better understanding of the relationships between the peptide sequences and their binding affinities or specificities will enable further design of novel peptides with selected properties of interest both in engineering and medicine. RESULTS A bioinformatics approach was developed to classify peptides selected by in vivo techniques according to their inorganic solid-binding properties. Our approach performs all-against-all comparisons of experimentally selected peptides with short amino acid sequences that were categorized for their binding affinity and scores the alignments using sequence similarity scoring matrices. We generated novel scoring matrices that optimize the similarities within the strong-binding peptide sequences and the differences between the strong- and weak-binding peptide sequences. Using the scoring matrices thus generated, a given peptide is classified based on the sequence similarity to a set of experimentally selected peptides. We demonstrate the new approach by classifying experimentally characterized quartz-binding peptides and computationally designing new sequences with specific affinities. Experimental verifications of binding of these computationally designed peptides confirm our predictions with high accuracy. We further show that our approach is a general one and can be used to design new sequences that bind to a given inorganic solid with predictable and enhanced affinity.","author":[{"dropping-particle":"","family":"Oren","given":"Ersin Emre","non-dropping-particle":"","parse-names":false,"suffix":""},{"dropping-particle":"","family":"Tamerler","given":"Candan","non-dropping-particle":"","parse-names":false,"suffix":""},{"dropping-particle":"","family":"Sahin","given":"Deniz","non-dropping-particle":"","parse-names":false,"suffix":""},{"dropping-particle":"","family":"Hnilova","given":"Marketa","non-dropping-particle":"","parse-names":false,"suffix":""},{"dropping-particle":"","family":"Seker","given":"Urartu Ozgur Safak","non-dropping-particle":"","parse-names":false,"suffix":""},{"dropping-particle":"","family":"Sarikaya","given":"Mehmet","non-dropping-particle":"","parse-names":false,"suffix":""},{"dropping-particle":"","family":"Samudrala","given":"Ram","non-dropping-particle":"","parse-names":false,"suffix":""}],"container-title":"Bioinformatics","id":"ITEM-1","issue":"21","issued":{"date-parts":[["2007"]]},"page":"2816-2822","title":"A novel knowledge-based approach to design inorganic-binding peptides","type":"article-journal","volume":"23"},"uris":["http://www.mendeley.com/documents/?uuid=5a7703ff-1999-48a1-8fce-cfa943fa72dc"]}],"mendeley":{"formattedCitation":"&lt;sup&gt;12&lt;/sup&gt;","plainTextFormattedCitation":"12","previouslyFormattedCitation":"&lt;sup&gt;12&lt;/sup&gt;"},"properties":{"noteIndex":0},"schema":"https://github.com/citation-style-language/schema/raw/master/csl-citation.json"}</w:instrText>
      </w:r>
      <w:r w:rsidR="00281C77">
        <w:fldChar w:fldCharType="separate"/>
      </w:r>
      <w:r w:rsidR="00281C77" w:rsidRPr="00281C77">
        <w:rPr>
          <w:noProof/>
          <w:vertAlign w:val="superscript"/>
        </w:rPr>
        <w:t>12</w:t>
      </w:r>
      <w:r w:rsidR="00281C77">
        <w:fldChar w:fldCharType="end"/>
      </w:r>
    </w:p>
    <w:p w:rsidR="00950ECD" w:rsidRDefault="00950ECD" w:rsidP="00950ECD">
      <w:pPr>
        <w:pStyle w:val="TAMainText"/>
      </w:pPr>
      <w:r w:rsidRPr="00BA2AA5">
        <w:t>Fundamental studies of the adsorption of protein building blocks to TiO</w:t>
      </w:r>
      <w:r w:rsidRPr="00BA2AA5">
        <w:rPr>
          <w:vertAlign w:val="subscript"/>
        </w:rPr>
        <w:t>2</w:t>
      </w:r>
      <w:r w:rsidRPr="00BA2AA5">
        <w:t xml:space="preserve"> may provide useful insights into biomaterial/biomolecule surface interactions and hence a better understanding of interaction on the molecular level.</w:t>
      </w:r>
      <w:r w:rsidR="00281C77">
        <w:fldChar w:fldCharType="begin" w:fldLock="1"/>
      </w:r>
      <w:r w:rsidR="00773999">
        <w:instrText xml:space="preserve">ADDIN CSL_CITATION {"citationItems":[{"id":"ITEM-1","itemData":{"DOI":"10.1021/la980425n","abstract":"The first in situ internal reflection infrared spectroscopic study of lysine adsorption from an aqueous solution to TiO2 films is reported. The infrared spectrum of lysine adsorbed to TiO2 from an aqueous solution at an intermediate pH of </w:instrText>
      </w:r>
      <w:r w:rsidR="00773999">
        <w:rPr>
          <w:rFonts w:ascii="Cambria Math" w:hAnsi="Cambria Math" w:cs="Cambria Math"/>
        </w:rPr>
        <w:instrText>∼</w:instrText>
      </w:r>
      <w:r w:rsidR="00773999">
        <w:instrText xml:space="preserve">5-7 strongly resembles that of solution lysine, indicating that lysine is electrostatically adsorbed. At this pH, favorable electrostatic interactions occur between the lysine cation and the negatively charged TiO2 film (point of zero charge at pH </w:instrText>
      </w:r>
      <w:r w:rsidR="00773999">
        <w:rPr>
          <w:rFonts w:ascii="Cambria Math" w:hAnsi="Cambria Math" w:cs="Cambria Math"/>
        </w:rPr>
        <w:instrText>∼</w:instrText>
      </w:r>
      <w:r w:rsidR="00773999">
        <w:instrText>5). A Langmuir isotherm analysis was used to obtain an equilibrium constant for lysine adsorption at pH 7.4 of 3 × 10 3 M -1 , consistent with an electrostatically adsorbed surface species. Increasing the crystallinity of the TiO2 film did not affect lysine adsorption. The surface titration by internal reflection spectroscopy (STIRS) technique has been used to investigate the effect of pH change on lysine adsorption to TiO2. Maximum lysine adsorption to TiO2 occurs near the lysine isoelectric point of 9.8.","author":[{"dropping-particle":"","family":"Roddick-Lanzilotta","given":"Alisa D","non-dropping-particle":"","parse-names":false,"suffix":""},{"dropping-particle":"","family":"Connor","given":"Paul A","non-dropping-particle":"","parse-names":false,"suffix":""},{"dropping-particle":"","family":"Mcquillan","given":"A James","non-dropping-particle":"","parse-names":false,"suffix":""}],"container-title":"Langmuir","id":"ITEM-1","issued":{"date-parts":[["1998"]]},"page":"6479-6484","title":"An In Situ Infrared Spectroscopic Study of the Adsorption of Lysine to TiO 2 from an Aqueous Solution","type":"article-journal","volume":"14"},"uris":["http://www.mendeley.com/documents/?uuid=72db7211-e67b-457d-85c3-fe7a430b499f"]}],"mendeley":{"formattedCitation":"&lt;sup&gt;13&lt;/sup&gt;","plainTextFormattedCitation":"13","previouslyFormattedCitation":"&lt;sup&gt;13&lt;/sup&gt;"},"properties":{"noteIndex":0},"schema":"https://github.com/citation-style-language/schema/raw/master/csl-citation.json"}</w:instrText>
      </w:r>
      <w:r w:rsidR="00281C77">
        <w:fldChar w:fldCharType="separate"/>
      </w:r>
      <w:r w:rsidR="00281C77" w:rsidRPr="00281C77">
        <w:rPr>
          <w:noProof/>
          <w:vertAlign w:val="superscript"/>
        </w:rPr>
        <w:t>13</w:t>
      </w:r>
      <w:r w:rsidR="00281C77">
        <w:fldChar w:fldCharType="end"/>
      </w:r>
      <w:r w:rsidRPr="00BA2AA5">
        <w:t xml:space="preserve"> Recent classical molecular dynamics calculations of collagen on rutile indicate that proteins are attached to the surface via a small number of contact </w:t>
      </w:r>
      <w:r w:rsidRPr="00BA2AA5">
        <w:lastRenderedPageBreak/>
        <w:t>points.</w:t>
      </w:r>
      <w:r w:rsidR="00281C77">
        <w:fldChar w:fldCharType="begin" w:fldLock="1"/>
      </w:r>
      <w:r w:rsidR="00773999">
        <w:instrText>ADDIN CSL_CITATION {"citationItems":[{"id":"ITEM-1","itemData":{"DOI":"10.1021/jp056760j","ISBN":"1520-6106 (Print)","ISSN":"1520-6106","PMID":"16553430","abstract":"Ab initio periodic calculations and classical molecular dynamics (MD) simulations were performed to investigate the adsorption mode of alanine and a number of short peptides, in particular two peptides, alanine-glutamic acid and alanine-lysine, taken as model systems for the ionic self-complementary oligopeptide EAK16-II, onto TiO(2) (110) rutile surface, and their conformational characteristics upon adsorption. The atomistic description of the rutile surface and its interactions with water and peptide molecules were based on ab initio calculations, the TIP3P water model, the AMBER force field, and available parameters. By comparison with ab initio calculations, it is shown that MD simulations of reasonable duration can describe the main characteristics of the peptide-TiO(2) surface interaction in solution, at least on a short time scale. Atom-atom radial distribution functions, atom-surface distances, backbone and side chain dihedral angle distributions, and peptide-surface interaction energies have been analyzed. Once adsorbed onto the TiO(2) rutile surface by a bidentate interaction of both carboxyl oxygens with two adjacent Ti atoms, the small peptide studied showed a clear propensity to remain there and undergo relatively limited hinge-bending motions.","author":[{"dropping-particle":"","family":"Carravetta","given":"Vincenzo","non-dropping-particle":"","parse-names":false,"suffix":""},{"dropping-particle":"","family":"Monti","given":"Susanna","non-dropping-particle":"","parse-names":false,"suffix":""}],"container-title":"The journal of physical chemistry. B","id":"ITEM-1","issued":{"date-parts":[["2006"]]},"title":"Peptide-TiO2 surface interaction in Solution by Ab Initio and Molecular Dynamics Simulations","type":"article-journal"},"uris":["http://www.mendeley.com/documents/?uuid=e2321251-82a9-4ecd-b60b-b6cfafd309bf"]},{"id":"ITEM-2","itemData":{"DOI":"10.1021/jp803354z","author":[{"dropping-particle":"","family":"Köppen","given":"Susan","non-dropping-particle":"","parse-names":false,"suffix":""},{"dropping-particle":"","family":"Bronkalla","given":"Oliver","non-dropping-particle":"","parse-names":false,"suffix":""},{"dropping-particle":"","family":"Langel","given":"Walter","non-dropping-particle":"","parse-names":false,"suffix":""}],"container-title":"J. Phys.Chem. C","id":"ITEM-2","issued":{"date-parts":[["2008"]]},"page":"13600-13606","title":"Adsorption Configurations and Energies of Amino Acids on Anatase and Rutile Surfaces Adsorption Configurations and Energies of Amino Acids on Anatase and Rutile Surfaces","type":"article-journal","volume":"112"},"uris":["http://www.mendeley.com/documents/?uuid=e42f0b62-92f2-4d1b-8f3f-2cc99dd5f337"]}],"mendeley":{"formattedCitation":"&lt;sup&gt;10,14&lt;/sup&gt;","plainTextFormattedCitation":"10,14","previouslyFormattedCitation":"&lt;sup&gt;10,14&lt;/sup&gt;"},"properties":{"noteIndex":0},"schema":"https://github.com/citation-style-language/schema/raw/master/csl-citation.json"}</w:instrText>
      </w:r>
      <w:r w:rsidR="00281C77">
        <w:fldChar w:fldCharType="separate"/>
      </w:r>
      <w:r w:rsidR="00281C77" w:rsidRPr="00281C77">
        <w:rPr>
          <w:noProof/>
          <w:vertAlign w:val="superscript"/>
        </w:rPr>
        <w:t>10,14</w:t>
      </w:r>
      <w:r w:rsidR="00281C77">
        <w:fldChar w:fldCharType="end"/>
      </w:r>
      <w:r w:rsidRPr="00BA2AA5">
        <w:t xml:space="preserve"> For peptides, it is likely to be the side groups of the amino acids which control the overall adsorption mechanism, because the terminal carboxyl and amine groups form a small proportion of the overall molecule.</w:t>
      </w:r>
      <w:r w:rsidR="00281C77">
        <w:fldChar w:fldCharType="begin" w:fldLock="1"/>
      </w:r>
      <w:r w:rsidR="00773999">
        <w:instrText>ADDIN CSL_CITATION {"citationItems":[{"id":"ITEM-1","itemData":{"DOI":"10.1021/jp803354z","author":[{"dropping-particle":"","family":"Köppen","given":"Susan","non-dropping-particle":"","parse-names":false,"suffix":""},{"dropping-particle":"","family":"Bronkalla","given":"Oliver","non-dropping-particle":"","parse-names":false,"suffix":""},{"dropping-particle":"","family":"Langel","given":"Walter","non-dropping-particle":"","parse-names":false,"suffix":""}],"container-title":"J. Phys.Chem. C","id":"ITEM-1","issued":{"date-parts":[["2008"]]},"page":"13600-13606","title":"Adsorption Configurations and Energies of Amino Acids on Anatase and Rutile Surfaces Adsorption Configurations and Energies of Amino Acids on Anatase and Rutile Surfaces","type":"article-journal","volume":"112"},"uris":["http://www.mendeley.com/documents/?uuid=e42f0b62-92f2-4d1b-8f3f-2cc99dd5f337"]}],"mendeley":{"formattedCitation":"&lt;sup&gt;10&lt;/sup&gt;","plainTextFormattedCitation":"10","previouslyFormattedCitation":"&lt;sup&gt;10&lt;/sup&gt;"},"properties":{"noteIndex":0},"schema":"https://github.com/citation-style-language/schema/raw/master/csl-citation.json"}</w:instrText>
      </w:r>
      <w:r w:rsidR="00281C77">
        <w:fldChar w:fldCharType="separate"/>
      </w:r>
      <w:r w:rsidR="00281C77" w:rsidRPr="00281C77">
        <w:rPr>
          <w:noProof/>
          <w:vertAlign w:val="superscript"/>
        </w:rPr>
        <w:t>10</w:t>
      </w:r>
      <w:r w:rsidR="00281C77">
        <w:fldChar w:fldCharType="end"/>
      </w:r>
      <w:r w:rsidRPr="00BA2AA5">
        <w:t xml:space="preserve"> Therefore, to better understand the impact of the adsorption on protein structure, a comprehensive understanding of amino acid-nanoparticle interactions is required.</w:t>
      </w:r>
    </w:p>
    <w:p w:rsidR="00DE089D" w:rsidRPr="00AA099A" w:rsidRDefault="00DE089D" w:rsidP="00F36B34">
      <w:pPr>
        <w:pStyle w:val="TAMainText"/>
      </w:pPr>
      <w:r w:rsidRPr="00F36B34">
        <w:t>The first thermodynamic data on the amino acids adsorption on titanium oxide under biocompatible conditions were obtai</w:t>
      </w:r>
      <w:r w:rsidR="00F36B34">
        <w:t xml:space="preserve">ned by S. Okazaki for </w:t>
      </w:r>
      <w:r w:rsidR="00F36B34" w:rsidRPr="00F36B34">
        <w:rPr>
          <w:i/>
        </w:rPr>
        <w:t>L</w:t>
      </w:r>
      <w:r w:rsidR="00F36B34">
        <w:t>-lysine.</w:t>
      </w:r>
      <w:r w:rsidR="00281C77">
        <w:fldChar w:fldCharType="begin" w:fldLock="1"/>
      </w:r>
      <w:r w:rsidR="00773999">
        <w:instrText>ADDIN CSL_CITATION {"citationItems":[{"id":"ITEM-1","itemData":{"DOI":"10.1246/bcsj.54.1595","author":[{"dropping-particle":"","family":"Okazaki S., Aoki T.","given":"Tani K.","non-dropping-particle":"","parse-names":false,"suffix":""}],"container-title":"Bull. Chem. Soc. Jpn.","id":"ITEM-1","issued":{"date-parts":[["1981"]]},"page":"1595-1599","title":"The Adsorption of Basic α-Amino Acids in an Aqueous Solution by Titanium(IV) Oxide","type":"article-journal","volume":"54"},"uris":["http://www.mendeley.com/documents/?uuid=e7c7e539-ec72-44b3-ba50-89c8e10f4081"]}],"mendeley":{"formattedCitation":"&lt;sup&gt;15&lt;/sup&gt;","plainTextFormattedCitation":"15","previouslyFormattedCitation":"&lt;sup&gt;15&lt;/sup&gt;"},"properties":{"noteIndex":0},"schema":"https://github.com/citation-style-language/schema/raw/master/csl-citation.json"}</w:instrText>
      </w:r>
      <w:r w:rsidR="00281C77">
        <w:fldChar w:fldCharType="separate"/>
      </w:r>
      <w:r w:rsidR="00281C77" w:rsidRPr="00281C77">
        <w:rPr>
          <w:noProof/>
          <w:vertAlign w:val="superscript"/>
        </w:rPr>
        <w:t>15</w:t>
      </w:r>
      <w:r w:rsidR="00281C77">
        <w:fldChar w:fldCharType="end"/>
      </w:r>
      <w:r w:rsidRPr="00F36B34">
        <w:t xml:space="preserve"> Using the Langmuir model the Gibbs free energy was calculated for the adsorption in deionized water </w:t>
      </w:r>
      <w:proofErr w:type="gramStart"/>
      <w:r w:rsidRPr="00F36B34">
        <w:t>(2.3</w:t>
      </w:r>
      <w:r w:rsidR="00F36B34">
        <w:t> </w:t>
      </w:r>
      <w:r w:rsidRPr="00F36B34">
        <w:t>kJ/</w:t>
      </w:r>
      <w:proofErr w:type="spellStart"/>
      <w:r w:rsidRPr="00F36B34">
        <w:t>mol</w:t>
      </w:r>
      <w:proofErr w:type="spellEnd"/>
      <w:r w:rsidRPr="00F36B34">
        <w:t>)</w:t>
      </w:r>
      <w:proofErr w:type="gramEnd"/>
      <w:r w:rsidRPr="00F36B34">
        <w:t xml:space="preserve">. Three decades later similar data were obtained for histidine at different </w:t>
      </w:r>
      <w:r w:rsidR="00AA099A">
        <w:t>temperatures (293.15÷320.15</w:t>
      </w:r>
      <w:r w:rsidR="002416B7">
        <w:t> </w:t>
      </w:r>
      <w:r w:rsidR="00AA099A">
        <w:t>K).</w:t>
      </w:r>
      <w:r w:rsidR="00281C77">
        <w:fldChar w:fldCharType="begin" w:fldLock="1"/>
      </w:r>
      <w:r w:rsidR="00773999">
        <w:instrText>ADDIN CSL_CITATION {"citationItems":[{"id":"ITEM-1","itemData":{"DOI":"10.1021/la500722n","ISBN":"0743-7463","ISSN":"15205827","PMID":"24978817","abstract":"Nanoparticles in biological media form dynamic entities as a result of competitive adsorption of proteins on nanoparticle surfaces called protein coronas. The protein affinity toward nanoparticle surfaces potentially depends on the constituent amino acid side chains which are on the protein exterior and thus exposed to the solution and available for interaction. Therefore, studying the adsorption of individual amino acids on nanoparticle surfaces can provide valuable insights into the overall evolution of nanoparticles in solution and the protein corona that forms. In the current study, the surface adsorption of l-histidine on TiO2 nanoparticles with a diameter of 5 nm at pH 7.4 (physiological pH) is studied from both macroscopic and molecular perspectives. Quantitative adsorption measurements of l-histidine on 5 nm TiO2 particles yield maximum adsorption coverage of 6.2 ± 0.3 × 10(13) molecules cm(-2) at 293 K and pH 7.4. These quantitative adsorption measurements also yield values for the equilibrium constant and free energy of adsorption of K = 4.3 ± 0.5 × 10(2) L mol(-1) and ΔG = -14.8 ± 0.3 kJ mol(-1), respectively. Detailed analysis of the adsorption between histidine and 5 nm TiO2 nanoparticle surfaces with attenuated total reflectance Fourier transform infrared (ATR-FTIR) spectroscopy indicates both the imidazole side chain and the amine group interacting with the nanoparticle surface and the adsorption to be reversible. The adsorption results in no change in surface charge and therefore does not change nanoparticle-nanoparticle interactions and thus aggregation behavior of these 5 nm TiO2 nanoparticles in aqueous solution.","author":[{"dropping-particle":"","family":"Mudunkotuwa","given":"Imali A.","non-dropping-particle":"","parse-names":false,"suffix":""},{"dropping-particle":"","family":"Grassian","given":"Vicki H.","non-dropping-particle":"","parse-names":false,"suffix":""}],"container-title":"Langmuir","id":"ITEM-1","issued":{"date-parts":[["2014"]]},"title":"Histidine adsorption on TiO2 nanoparticles: An integrated spectroscopic, thermodynamic, and molecular-based approach toward understanding nano-bio interactions","type":"article-journal"},"uris":["http://www.mendeley.com/documents/?uuid=97c7fb96-3919-4f72-8719-2ef67a6afae4"]}],"mendeley":{"formattedCitation":"&lt;sup&gt;16&lt;/sup&gt;","plainTextFormattedCitation":"16","previouslyFormattedCitation":"&lt;sup&gt;16&lt;/sup&gt;"},"properties":{"noteIndex":0},"schema":"https://github.com/citation-style-language/schema/raw/master/csl-citation.json"}</w:instrText>
      </w:r>
      <w:r w:rsidR="00281C77">
        <w:fldChar w:fldCharType="separate"/>
      </w:r>
      <w:r w:rsidR="00281C77" w:rsidRPr="00281C77">
        <w:rPr>
          <w:noProof/>
          <w:vertAlign w:val="superscript"/>
        </w:rPr>
        <w:t>16</w:t>
      </w:r>
      <w:r w:rsidR="00281C77">
        <w:fldChar w:fldCharType="end"/>
      </w:r>
    </w:p>
    <w:p w:rsidR="00DE089D" w:rsidRPr="00F526A1" w:rsidRDefault="00DE089D" w:rsidP="00F36B34">
      <w:pPr>
        <w:pStyle w:val="TAMainText"/>
        <w:rPr>
          <w:strike/>
        </w:rPr>
      </w:pPr>
      <w:r w:rsidRPr="00F36B34">
        <w:t>Meanwhile, the spectroscopic methods are most utilized for studying affinity of the amino acids to TiO</w:t>
      </w:r>
      <w:r w:rsidRPr="00F36B34">
        <w:rPr>
          <w:vertAlign w:val="subscript"/>
        </w:rPr>
        <w:t>2</w:t>
      </w:r>
      <w:r w:rsidRPr="00F36B34">
        <w:t xml:space="preserve">. Despite their descriptive character, they became useful in revealing meaningful insights of amino acids adsorption. For example, </w:t>
      </w:r>
      <w:r w:rsidR="007C0266" w:rsidRPr="00F20185">
        <w:rPr>
          <w:i/>
        </w:rPr>
        <w:t>in situ</w:t>
      </w:r>
      <w:r w:rsidR="007C0266" w:rsidRPr="00F20185">
        <w:t xml:space="preserve"> IR-</w:t>
      </w:r>
      <w:r w:rsidR="008F36A1">
        <w:t>spectroscopic study</w:t>
      </w:r>
      <w:r w:rsidR="007C0266" w:rsidRPr="00F20185">
        <w:t xml:space="preserve"> showed </w:t>
      </w:r>
      <w:r w:rsidRPr="00F20185">
        <w:t xml:space="preserve">that </w:t>
      </w:r>
      <w:r w:rsidR="008F36A1" w:rsidRPr="00561565">
        <w:rPr>
          <w:noProof/>
        </w:rPr>
        <w:t>Lys</w:t>
      </w:r>
      <w:r w:rsidRPr="00F20185">
        <w:t xml:space="preserve"> adsorption behavior is indifferent towards TiO</w:t>
      </w:r>
      <w:r w:rsidRPr="00F20185">
        <w:rPr>
          <w:vertAlign w:val="subscript"/>
        </w:rPr>
        <w:t>2</w:t>
      </w:r>
      <w:r w:rsidRPr="00F20185">
        <w:t xml:space="preserve"> cry</w:t>
      </w:r>
      <w:r w:rsidR="00F36B34" w:rsidRPr="00F20185">
        <w:t>stallinity or lysine chirality.</w:t>
      </w:r>
      <w:r w:rsidR="008C37BE">
        <w:fldChar w:fldCharType="begin" w:fldLock="1"/>
      </w:r>
      <w:r w:rsidR="00773999">
        <w:instrText xml:space="preserve">ADDIN CSL_CITATION {"citationItems":[{"id":"ITEM-1","itemData":{"DOI":"10.1021/la980425n","abstract":"The first in situ internal reflection infrared spectroscopic study of lysine adsorption from an aqueous solution to TiO2 films is reported. The infrared spectrum of lysine adsorbed to TiO2 from an aqueous solution at an intermediate pH of </w:instrText>
      </w:r>
      <w:r w:rsidR="00773999">
        <w:rPr>
          <w:rFonts w:ascii="Cambria Math" w:hAnsi="Cambria Math" w:cs="Cambria Math"/>
        </w:rPr>
        <w:instrText>∼</w:instrText>
      </w:r>
      <w:r w:rsidR="00773999">
        <w:instrText xml:space="preserve">5-7 strongly resembles that of solution lysine, indicating that lysine is electrostatically adsorbed. At this pH, favorable electrostatic interactions occur between the lysine cation and the negatively charged TiO2 film (point of zero charge at pH </w:instrText>
      </w:r>
      <w:r w:rsidR="00773999">
        <w:rPr>
          <w:rFonts w:ascii="Cambria Math" w:hAnsi="Cambria Math" w:cs="Cambria Math"/>
        </w:rPr>
        <w:instrText>∼</w:instrText>
      </w:r>
      <w:r w:rsidR="00773999">
        <w:instrText xml:space="preserve">5). A Langmuir isotherm analysis was used to obtain an equilibrium constant for lysine adsorption at pH 7.4 of 3 </w:instrText>
      </w:r>
      <w:r w:rsidR="00773999">
        <w:rPr>
          <w:rFonts w:cs="Times"/>
        </w:rPr>
        <w:instrText>×</w:instrText>
      </w:r>
      <w:r w:rsidR="00773999">
        <w:instrText xml:space="preserve"> 10 3 M -1 , consistent with an electrostatically adsorbed surface species. Increasing the crystallinity of the TiO2 film did not affect lysine adsorption. The surface titration by internal reflection spectroscopy (STIRS) technique has been used to investigate the effect of pH change on lysine adsorption to TiO2. Maximum lysine adsorption to TiO2 occurs near the lysine isoelectric point of 9.8.","author":[{"dropping-particle":"","family":"Roddick-Lanzilotta","given":"Alisa D","non-dropping-particle":"","parse-names":false,"suffix":""},{"dropping-particle":"","family":"Connor","given":"Paul A","non-dropping-particle":"","parse-names":false,"suffix":""},{"dropping-particle":"","family":"Mcquillan","given":"A James","non-dropping-particle":"","parse-names":false,"suffix":""}],"container-title":"Langmuir","id":"ITEM-1","issued":{"date-parts":[["1998"]]},"page":"6479-6484","title":"An In Situ Infrared Spectroscopic Study of the Adsorption of Lysine to TiO 2 from an Aqueous Solution","type":"article-journal","volume":"14"},"uris":["http://www.mendeley.com/documents/?uuid=72db7211-e67b-457d-85c3-fe7a430b499f"]}],"mendeley":{"formattedCitation":"&lt;sup&gt;13&lt;/sup&gt;","plainTextFormattedCitation":"13","previouslyFormattedCitation":"&lt;sup&gt;13&lt;/sup&gt;"},"properties":{"noteIndex":0},"schema":"https://github.com/citation-style-language/schema/raw/master/csl-citation.json"}</w:instrText>
      </w:r>
      <w:r w:rsidR="008C37BE">
        <w:fldChar w:fldCharType="separate"/>
      </w:r>
      <w:r w:rsidR="008C37BE" w:rsidRPr="008C37BE">
        <w:rPr>
          <w:noProof/>
          <w:vertAlign w:val="superscript"/>
        </w:rPr>
        <w:t>13</w:t>
      </w:r>
      <w:r w:rsidR="008C37BE">
        <w:fldChar w:fldCharType="end"/>
      </w:r>
      <w:r w:rsidRPr="00F20185">
        <w:t xml:space="preserve"> </w:t>
      </w:r>
      <w:r w:rsidR="007C0266" w:rsidRPr="00F20185">
        <w:t xml:space="preserve">Later, the same group revealed that </w:t>
      </w:r>
      <w:proofErr w:type="spellStart"/>
      <w:r w:rsidR="008F36A1">
        <w:t>Glu</w:t>
      </w:r>
      <w:proofErr w:type="spellEnd"/>
      <w:r w:rsidR="007C0266" w:rsidRPr="00F20185">
        <w:t xml:space="preserve"> adsorption to TiO</w:t>
      </w:r>
      <w:r w:rsidR="007C0266" w:rsidRPr="00F20185">
        <w:rPr>
          <w:vertAlign w:val="subscript"/>
        </w:rPr>
        <w:t>2</w:t>
      </w:r>
      <w:r w:rsidR="007C0266" w:rsidRPr="00F20185">
        <w:t xml:space="preserve"> involves at least two structures, while Asp</w:t>
      </w:r>
      <w:r w:rsidR="00EA38EE" w:rsidRPr="00F20185">
        <w:t xml:space="preserve"> gave a single surface species.</w:t>
      </w:r>
      <w:r w:rsidR="008C37BE">
        <w:fldChar w:fldCharType="begin" w:fldLock="1"/>
      </w:r>
      <w:r w:rsidR="00773999">
        <w:instrText>ADDIN CSL_CITATION {"citationItems":[{"id":"ITEM-1","itemData":{"DOI":"10.1006/jcis.2000.6864","ISBN":"0021-9797","ISSN":"00219797","PMID":"10860593","abstract":"In situ ATR-IR spectroscopy has been applied to the study of glutamic (Glu) and aspartic (Asp) acid adsorbed on amorphous TiO2particle films. Unlike Asp, which gives evidence of one major adsorbed species, Glu yields several spectroscopically distinct structures upon adsorption to TiO2. The pH dependence of Glu and Asp adsorption is also different, with Glu adsorbing markedly to TiO2at pH where electrostatic interactions between the surface and adsorbate are unfavorable. Application of the Langmuir model to adsorption isotherms yields a single binding constant for Asp and two binding constants for Glu, further supporting the evidence for different adsorbed Glu species. This is the first investigation of the molecular structure of Glu and Asp species adsorbed on amorphous TiO2using in situ ATR-IR spectroscopy. (C) 2000 Academic Press.","author":[{"dropping-particle":"","family":"Roddick-Lanzilotta","given":"Alisa D.","non-dropping-particle":"","parse-names":false,"suffix":""},{"dropping-particle":"","family":"McQuillan","given":"A. James","non-dropping-particle":"","parse-names":false,"suffix":""}],"container-title":"Journal of Colloid and Interface Science","id":"ITEM-1","issue":"1","issued":{"date-parts":[["2000"]]},"page":"48-54","title":"An in situ infrared spectroscopic study of glutamic acid and of aspartic acid adsorbed on TiO2: Implications for the biocompatibility of titanium","type":"article-journal","volume":"227"},"uris":["http://www.mendeley.com/documents/?uuid=b7aa589e-c448-41fc-9431-57d4c37dff4f"]}],"mendeley":{"formattedCitation":"&lt;sup&gt;17&lt;/sup&gt;","plainTextFormattedCitation":"17","previouslyFormattedCitation":"&lt;sup&gt;17&lt;/sup&gt;"},"properties":{"noteIndex":0},"schema":"https://github.com/citation-style-language/schema/raw/master/csl-citation.json"}</w:instrText>
      </w:r>
      <w:r w:rsidR="008C37BE">
        <w:fldChar w:fldCharType="separate"/>
      </w:r>
      <w:r w:rsidR="008C37BE" w:rsidRPr="008C37BE">
        <w:rPr>
          <w:noProof/>
          <w:vertAlign w:val="superscript"/>
        </w:rPr>
        <w:t>17</w:t>
      </w:r>
      <w:r w:rsidR="008C37BE">
        <w:fldChar w:fldCharType="end"/>
      </w:r>
      <w:r w:rsidR="007C0266" w:rsidRPr="00F20185">
        <w:t xml:space="preserve"> A detailed IR-spectroscopic study of Asp and </w:t>
      </w:r>
      <w:proofErr w:type="spellStart"/>
      <w:r w:rsidR="007C0266" w:rsidRPr="00F20185">
        <w:t>Glu</w:t>
      </w:r>
      <w:proofErr w:type="spellEnd"/>
      <w:r w:rsidR="007C0266" w:rsidRPr="00F20185">
        <w:t xml:space="preserve"> on TiO</w:t>
      </w:r>
      <w:r w:rsidR="007C0266" w:rsidRPr="00F20185">
        <w:rPr>
          <w:vertAlign w:val="subscript"/>
        </w:rPr>
        <w:t>2</w:t>
      </w:r>
      <w:r w:rsidR="007C0266" w:rsidRPr="00F20185">
        <w:t xml:space="preserve"> pointed out both carboxylic groups of the molecules are coordinated to the surface,</w:t>
      </w:r>
      <w:r w:rsidRPr="00F36B34">
        <w:t xml:space="preserve"> wherein one of them is bonded </w:t>
      </w:r>
      <w:proofErr w:type="spellStart"/>
      <w:r w:rsidRPr="00F36B34">
        <w:t>monodentally</w:t>
      </w:r>
      <w:proofErr w:type="spellEnd"/>
      <w:r w:rsidRPr="00F36B34">
        <w:t xml:space="preserve"> to a surface Ti ion, while the other is</w:t>
      </w:r>
      <w:r w:rsidR="00F36B34">
        <w:t xml:space="preserve"> stabilized by a hydrogen bond.</w:t>
      </w:r>
      <w:r w:rsidR="0077742A">
        <w:t xml:space="preserve"> </w:t>
      </w:r>
      <w:r w:rsidR="0077742A" w:rsidRPr="00F20185">
        <w:t>Amino acids with the amide (glutamine) or aromatic (phenylalanine) side chains were shown to interact rather weakly with TiO</w:t>
      </w:r>
      <w:r w:rsidR="0077742A" w:rsidRPr="00F20185">
        <w:rPr>
          <w:vertAlign w:val="subscript"/>
        </w:rPr>
        <w:t>2</w:t>
      </w:r>
      <w:r w:rsidR="00EA38EE" w:rsidRPr="00F20185">
        <w:t>.</w:t>
      </w:r>
      <w:r w:rsidR="008C37BE">
        <w:fldChar w:fldCharType="begin" w:fldLock="1"/>
      </w:r>
      <w:r w:rsidR="00773999">
        <w:instrText>ADDIN CSL_CITATION {"citationItems":[{"id":"ITEM-1","itemData":{"DOI":"10.1016/j.vibspec.2008.07.014","ISSN":"09242031","abstract":"Sum frequency generation vibrational spectroscopy (SFG) is a powerful tool for in situ investigation of adsorption processes at biologically important solid-liquid interfaces. In this work adsorption of different amino acids was investigated by SFG at the titanium-dioxide-amino acid solution interface. While both naturally occurring acidic amino acids, aspartic acid and glutamic acid, were found to form an ordered adsorbate layer, amino acids with non-acidic side chains exhibited little affinity towards TiO2. A detailed study of aspartic acid on TiO2 pointed out that both carboxylic groups of the molecule are coordinated to the surface; data taken in the carboxyl stretching frequency range revealed that one of them is bonded monodentally to a surface Ti ion, while the other is most probably stabilized by a hydrogen bond. The results indicate that the acidic side chain is the prerequisite of the formation of a stable, ordered amino acid adsorbate layer on TiO2. © 2008 Elsevier B.V. All rights reserved.","author":[{"dropping-particle":"","family":"Pászti","given":"Z.","non-dropping-particle":"","parse-names":false,"suffix":""},{"dropping-particle":"","family":"Guczi","given":"L.","non-dropping-particle":"","parse-names":false,"suffix":""}],"container-title":"Vibrational Spectroscopy","id":"ITEM-1","issue":"1","issued":{"date-parts":[["2009"]]},"page":"48-56","title":"Amino acid adsorption on hydrophilic TiO2: A sum frequency generation vibrational spectroscopy study","type":"article-journal","volume":"50"},"uris":["http://www.mendeley.com/documents/?uuid=8e0ce918-1e74-4338-aea7-0918f3702c44"]}],"mendeley":{"formattedCitation":"&lt;sup&gt;18&lt;/sup&gt;","plainTextFormattedCitation":"18","previouslyFormattedCitation":"&lt;sup&gt;18&lt;/sup&gt;"},"properties":{"noteIndex":0},"schema":"https://github.com/citation-style-language/schema/raw/master/csl-citation.json"}</w:instrText>
      </w:r>
      <w:r w:rsidR="008C37BE">
        <w:fldChar w:fldCharType="separate"/>
      </w:r>
      <w:r w:rsidR="008C37BE" w:rsidRPr="008C37BE">
        <w:rPr>
          <w:noProof/>
          <w:vertAlign w:val="superscript"/>
        </w:rPr>
        <w:t>18</w:t>
      </w:r>
      <w:r w:rsidR="008C37BE">
        <w:fldChar w:fldCharType="end"/>
      </w:r>
    </w:p>
    <w:p w:rsidR="0077742A" w:rsidRPr="00F36B34" w:rsidRDefault="0077742A" w:rsidP="00F36B34">
      <w:pPr>
        <w:pStyle w:val="TAMainText"/>
      </w:pPr>
      <w:r w:rsidRPr="0077742A">
        <w:t>IR-spectroscopic study of histidine adsorption on nanocrystalline anatase proposed that the adsorption is somewhat more complex than a single conﬁguration and that there are di</w:t>
      </w:r>
      <w:r w:rsidRPr="0077742A">
        <w:rPr>
          <w:rFonts w:ascii="Cambria Math" w:hAnsi="Cambria Math" w:cs="Cambria Math"/>
        </w:rPr>
        <w:t>ﬀ</w:t>
      </w:r>
      <w:r w:rsidRPr="0077742A">
        <w:t>erent modes of adsorption for heteroaromatic amino acid on the NP</w:t>
      </w:r>
      <w:r w:rsidR="006D160E">
        <w:t>s</w:t>
      </w:r>
      <w:r w:rsidR="00EA38EE">
        <w:t xml:space="preserve"> surface.</w:t>
      </w:r>
      <w:r w:rsidR="008C37BE">
        <w:fldChar w:fldCharType="begin" w:fldLock="1"/>
      </w:r>
      <w:r w:rsidR="00773999">
        <w:instrText>ADDIN CSL_CITATION {"citationItems":[{"id":"ITEM-1","itemData":{"DOI":"10.1246/bcsj.54.1595","author":[{"dropping-particle":"","family":"Okazaki S., Aoki T.","given":"Tani K.","non-dropping-particle":"","parse-names":false,"suffix":""}],"container-title":"Bull. Chem. Soc. Jpn.","id":"ITEM-1","issued":{"date-parts":[["1981"]]},"page":"1595-1599","title":"The Adsorption of Basic α-Amino Acids in an Aqueous Solution by Titanium(IV) Oxide","type":"article-journal","volume":"54"},"uris":["http://www.mendeley.com/documents/?uuid=e7c7e539-ec72-44b3-ba50-89c8e10f4081"]}],"mendeley":{"formattedCitation":"&lt;sup&gt;15&lt;/sup&gt;","plainTextFormattedCitation":"15","previouslyFormattedCitation":"&lt;sup&gt;15&lt;/sup&gt;"},"properties":{"noteIndex":0},"schema":"https://github.com/citation-style-language/schema/raw/master/csl-citation.json"}</w:instrText>
      </w:r>
      <w:r w:rsidR="008C37BE">
        <w:fldChar w:fldCharType="separate"/>
      </w:r>
      <w:r w:rsidR="008C37BE" w:rsidRPr="008C37BE">
        <w:rPr>
          <w:noProof/>
          <w:vertAlign w:val="superscript"/>
        </w:rPr>
        <w:t>15</w:t>
      </w:r>
      <w:r w:rsidR="008C37BE">
        <w:fldChar w:fldCharType="end"/>
      </w:r>
    </w:p>
    <w:p w:rsidR="00DE089D" w:rsidRPr="00F36B34" w:rsidRDefault="00DE089D" w:rsidP="00F36B34">
      <w:pPr>
        <w:pStyle w:val="TAMainText"/>
      </w:pPr>
      <w:r w:rsidRPr="00F36B34">
        <w:lastRenderedPageBreak/>
        <w:t>X-ray photoelectron spectroscopy analysis of cysteine and homocysteine adsorption on the amorphous TiO</w:t>
      </w:r>
      <w:r w:rsidRPr="00F36B34">
        <w:rPr>
          <w:vertAlign w:val="subscript"/>
        </w:rPr>
        <w:t>2</w:t>
      </w:r>
      <w:r w:rsidRPr="00F36B34">
        <w:t xml:space="preserve"> film concluded the amino acids adsorb onto TiO</w:t>
      </w:r>
      <w:r w:rsidRPr="00F36B34">
        <w:rPr>
          <w:vertAlign w:val="subscript"/>
        </w:rPr>
        <w:t>2</w:t>
      </w:r>
      <w:r w:rsidRPr="00F36B34">
        <w:t xml:space="preserve"> surfaces by their carboxyl groups replacing a basic hydroxy</w:t>
      </w:r>
      <w:r w:rsidR="00F36B34">
        <w:t>l on a Ti site in acidic media.</w:t>
      </w:r>
      <w:r w:rsidR="009463CA">
        <w:fldChar w:fldCharType="begin" w:fldLock="1"/>
      </w:r>
      <w:r w:rsidR="00773999">
        <w:instrText>ADDIN CSL_CITATION {"citationItems":[{"id":"ITEM-1","itemData":{"abstract":"Adsorption of amino acids from aqueous solutions on TiO2 surfaces as a function o f p H is monitored quantitatively by X-ray photoelectron spectroscopy (XPS). Because of the amphoteric character of the TiO2 and the \"zwitterionic\" behaviour of the amino acids the pH of adsorption indicates what chemical groups are involved in the adsorption reaction. The results confirm the ligand ex-change model: in acidic milieu the carboxylic group replaces a basic surface hydroxyl group on a Ti site and binds to this Ti. For homocysteine the resulting position of the adsorbed molecule can also be concluded by comparing peak in-tensities.","author":[{"dropping-particle":"","family":"Schmidt","given":"Martin","non-dropping-particle":"","parse-names":false,"suffix":""},{"dropping-particle":"","family":"Steinemann","given":"Samuel G","non-dropping-particle":"","parse-names":false,"suffix":""}],"container-title":"Fresenius J Anal Chem","id":"ITEM-1","issued":{"date-parts":[["1991"]]},"page":"412-415","title":"XPS studies of amino acids adsorbed on titanium dioxide surfaces","type":"article-journal","volume":"341"},"uris":["http://www.mendeley.com/documents/?uuid=e1717442-2e0e-4d59-8b68-c6d7abf26ec7"]}],"mendeley":{"formattedCitation":"&lt;sup&gt;19&lt;/sup&gt;","plainTextFormattedCitation":"19","previouslyFormattedCitation":"&lt;sup&gt;19&lt;/sup&gt;"},"properties":{"noteIndex":0},"schema":"https://github.com/citation-style-language/schema/raw/master/csl-citation.json"}</w:instrText>
      </w:r>
      <w:r w:rsidR="009463CA">
        <w:fldChar w:fldCharType="separate"/>
      </w:r>
      <w:r w:rsidR="009463CA" w:rsidRPr="009463CA">
        <w:rPr>
          <w:noProof/>
          <w:vertAlign w:val="superscript"/>
        </w:rPr>
        <w:t>19</w:t>
      </w:r>
      <w:r w:rsidR="009463CA">
        <w:fldChar w:fldCharType="end"/>
      </w:r>
      <w:r w:rsidRPr="00F36B34">
        <w:t xml:space="preserve"> The similar type of the cysteine binding to titanium dioxide was su</w:t>
      </w:r>
      <w:r w:rsidR="00F36B34">
        <w:t>bsequently supported elsewhere.</w:t>
      </w:r>
      <w:r w:rsidR="009463CA">
        <w:fldChar w:fldCharType="begin" w:fldLock="1"/>
      </w:r>
      <w:r w:rsidR="00773999">
        <w:instrText>ADDIN CSL_CITATION {"citationItems":[{"id":"ITEM-1","itemData":{"DOI":"10.1016/j.susc.2010.10.017","ISBN":"0039-6028","ISSN":"00396028","PMID":"21806065","abstract":"We have used X-ray photoelectron spectroscopy to study the adsorption of L-cysteine on a rutile TiO2(110) surface at room temperature and - 65 °C. For the molecules in direct contact with the surface our results suggest that the molecules bind dissociatively to the fivefold-coordinated Ti atoms of the surface through their deprotonated carboxylic groups. A second, dissociative interaction occurs between the molecular thiol groups and the surface. It is attributed to a dissociative bond to the bridging oxygen vacancies. Most likely, the thiol groups are deprotonated and a bond is formed between the thiolates and defects. In an alternative scenario, the C-S bond is cleaved and atomic sulfur binds to the defects. With regard to the molecular amino groups, they remain neutral at the lowest investigated coverages (0.3-0.5 ML), but already starting from around 0.7 ML nominal coverage protons are being transferred to them. The fraction of protonated amino groups increases with coverage and becomes dominating in multilayers prepared at room temperature and - 65 °C. In these multilayers the carboxylic groups are deprotonated. © 2010 Elsevier B.V. All rights reserved.","author":[{"dropping-particle":"","family":"Ataman","given":"Evren","non-dropping-particle":"","parse-names":false,"suffix":""},{"dropping-particle":"","family":"Isvoranu","given":"Cristina","non-dropping-particle":"","parse-names":false,"suffix":""},{"dropping-particle":"","family":"Knudsen","given":"Jan","non-dropping-particle":"","parse-names":false,"suffix":""},{"dropping-particle":"","family":"Schulte","given":"Karina","non-dropping-particle":"","parse-names":false,"suffix":""},{"dropping-particle":"","family":"Andersen","given":"Jesper N.","non-dropping-particle":"","parse-names":false,"suffix":""},{"dropping-particle":"","family":"Schnadt","given":"Joachim","non-dropping-particle":"","parse-names":false,"suffix":""}],"container-title":"Surface Science","id":"ITEM-1","issue":"1-2","issued":{"date-parts":[["2011"]]},"page":"179-186","title":"Adsorption of L-cysteine on rutile TiO2(110)","type":"article-journal","volume":"605"},"uris":["http://www.mendeley.com/documents/?uuid=9df6381e-3598-4a54-b940-54c4d5d6dc5a"]}],"mendeley":{"formattedCitation":"&lt;sup&gt;20&lt;/sup&gt;","plainTextFormattedCitation":"20","previouslyFormattedCitation":"&lt;sup&gt;20&lt;/sup&gt;"},"properties":{"noteIndex":0},"schema":"https://github.com/citation-style-language/schema/raw/master/csl-citation.json"}</w:instrText>
      </w:r>
      <w:r w:rsidR="009463CA">
        <w:fldChar w:fldCharType="separate"/>
      </w:r>
      <w:r w:rsidR="009463CA" w:rsidRPr="009463CA">
        <w:rPr>
          <w:noProof/>
          <w:vertAlign w:val="superscript"/>
        </w:rPr>
        <w:t>20</w:t>
      </w:r>
      <w:r w:rsidR="009463CA">
        <w:fldChar w:fldCharType="end"/>
      </w:r>
      <w:r w:rsidRPr="00F36B34">
        <w:t xml:space="preserve"> XPS analysis of aspartic acid adsorption onto TiO</w:t>
      </w:r>
      <w:r w:rsidRPr="00F36B34">
        <w:rPr>
          <w:vertAlign w:val="subscript"/>
        </w:rPr>
        <w:t>2</w:t>
      </w:r>
      <w:r w:rsidRPr="00F36B34">
        <w:t xml:space="preserve"> revealed amino aci</w:t>
      </w:r>
      <w:r w:rsidR="00F36B34">
        <w:t>d binding via the amino groups.</w:t>
      </w:r>
      <w:r w:rsidR="009463CA">
        <w:fldChar w:fldCharType="begin" w:fldLock="1"/>
      </w:r>
      <w:r w:rsidR="00773999">
        <w:instrText>ADDIN CSL_CITATION {"citationItems":[{"id":"ITEM-1","itemData":{"DOI":"10.1021/la00009a034","ISBN":"0743-7463","ISSN":"07437463","abstract":"The adsorption of L-aspartic acid (AA) at the TiO2-KNO3 aqueous solution interface was studied as a function of pH and electrolyte concentration using direct adsorption, OH- desorption, electrophoresis, and XPS measurements. A multisites surface complexation model was used to describe the charging and adsorptive behavior of the particles. Adsorption and electrophoretic data show that the amino acid uptake is characteristic of adsorbing anions and almost ionic strength independent. Although XPS data indicates that AA interacts with TiO2 surface sites through the amino groups, neither XPS nor kinetic results give conclusive evidence for the adsorption mechanism (ligand exchange or hydrogen bonding). Model calculations together with OH- desorption data, however, allow us to conclude that ligand exchange reactions, by which AA forms inner sphere surface complexes, take place. The model also predicts that only terminal (TiOH) groups react with AA. The results exemplify the usefulness of modeling when a quite complete set of experimental data cannot elucidate the type of reaction taking place between the solute and the surface. ? 1995 American Chemical Society.","author":[{"dropping-particle":"","family":"Giacomelli","given":"Ce","non-dropping-particle":"","parse-names":false,"suffix":""},{"dropping-particle":"","family":"Avena","given":"Mj","non-dropping-particle":"","parse-names":false,"suffix":""},{"dropping-particle":"De","family":"Pauli","given":"Cp","non-dropping-particle":"","parse-names":false,"suffix":""}],"container-title":"Langmuir","id":"ITEM-1","issue":"16","issued":{"date-parts":[["1995"]]},"page":"3483-3490","title":"Aspartic acid adsorption onto TiO2 particles surface. Experimental data and model calculations","type":"article-journal"},"uris":["http://www.mendeley.com/documents/?uuid=41443f5f-0de6-4fc5-ae1b-5c6a20a9606c"]}],"mendeley":{"formattedCitation":"&lt;sup&gt;21&lt;/sup&gt;","plainTextFormattedCitation":"21","previouslyFormattedCitation":"&lt;sup&gt;21&lt;/sup&gt;"},"properties":{"noteIndex":0},"schema":"https://github.com/citation-style-language/schema/raw/master/csl-citation.json"}</w:instrText>
      </w:r>
      <w:r w:rsidR="009463CA">
        <w:fldChar w:fldCharType="separate"/>
      </w:r>
      <w:r w:rsidR="009463CA" w:rsidRPr="009463CA">
        <w:rPr>
          <w:noProof/>
          <w:vertAlign w:val="superscript"/>
        </w:rPr>
        <w:t>21</w:t>
      </w:r>
      <w:r w:rsidR="009463CA">
        <w:fldChar w:fldCharType="end"/>
      </w:r>
    </w:p>
    <w:p w:rsidR="00DE089D" w:rsidRPr="00F36B34" w:rsidRDefault="00DE089D" w:rsidP="00F36B34">
      <w:pPr>
        <w:pStyle w:val="TAMainText"/>
      </w:pPr>
      <w:r w:rsidRPr="00F36B34">
        <w:t>An important description approach to the amino acids adsorption is the calculation methods (theoretical models). Theoretical</w:t>
      </w:r>
      <w:r w:rsidR="003E73E2">
        <w:t xml:space="preserve"> studies dealing with the solid-</w:t>
      </w:r>
      <w:r w:rsidRPr="00F36B34">
        <w:t>liquid evolved tremendously in recent years. In particular, molecular dynamics calculations based on density functional theory (DFT</w:t>
      </w:r>
      <w:r w:rsidR="003E73E2">
        <w:t>-</w:t>
      </w:r>
      <w:r w:rsidRPr="00F36B34">
        <w:t>MD) now allow description of both the oxide surface and the liquid phase with the same level of theory, i.e., includi</w:t>
      </w:r>
      <w:r w:rsidR="00F36B34">
        <w:t>ng bond breaking and formation.</w:t>
      </w:r>
      <w:r w:rsidR="009463CA">
        <w:fldChar w:fldCharType="begin" w:fldLock="1"/>
      </w:r>
      <w:r w:rsidR="00773999">
        <w:instrText>ADDIN CSL_CITATION {"citationItems":[{"id":"ITEM-1","itemData":{"DOI":"10.1021/acs.jpcb.6b05954","ISSN":"15205207","PMID":"27366959","abstract":"Amino acids and peptides are often used as “model” segments of proteins for studying their behavior in various types of environments, and/or elaborating functional surfaces. Indeed, though the protein behavior is much more complex than that of their isolated segments, knowledge of the binding mode as well as of the chemical structure of peptides on metal or oxide surfaces is a significant step toward the control of materials in a biological environment. Such knowledge has considerably increased in the past few years, thanks to the combination of advanced characterization techniques and of modeling methods. Investigations of biomolecule–surface interactions in water/solvent environments are quite numerous, but only in a few cases is it possible to reach an understanding of the molecule–(water)–surface interaction with a level of detail comparable to that of the UHV studies. This contribution aims at reviewing the recent data describing the amino acid and peptide interaction with metal or oxide surfaces in ...","author":[{"dropping-particle":"","family":"Costa","given":"D.","non-dropping-particle":"","parse-names":false,"suffix":""},{"dropping-particle":"","family":"Savio","given":"L.","non-dropping-particle":"","parse-names":false,"suffix":""},{"dropping-particle":"","family":"Pradier","given":"C. M.","non-dropping-particle":"","parse-names":false,"suffix":""}],"container-title":"Journal of Physical Chemistry B","id":"ITEM-1","issue":"29","issued":{"date-parts":[["2016"]]},"page":"7039-7052","title":"Adsorption of Amino Acids and Peptides on Metal and Oxide Surfaces in Water Environment: A Synthetic and Prospective Review","type":"article-journal","volume":"120"},"uris":["http://www.mendeley.com/documents/?uuid=662b2ebc-5f65-490d-8163-f11668a5a6e0"]}],"mendeley":{"formattedCitation":"&lt;sup&gt;22&lt;/sup&gt;","plainTextFormattedCitation":"22","previouslyFormattedCitation":"&lt;sup&gt;22&lt;/sup&gt;"},"properties":{"noteIndex":0},"schema":"https://github.com/citation-style-language/schema/raw/master/csl-citation.json"}</w:instrText>
      </w:r>
      <w:r w:rsidR="009463CA">
        <w:fldChar w:fldCharType="separate"/>
      </w:r>
      <w:r w:rsidR="009463CA" w:rsidRPr="009463CA">
        <w:rPr>
          <w:noProof/>
          <w:vertAlign w:val="superscript"/>
        </w:rPr>
        <w:t>22</w:t>
      </w:r>
      <w:r w:rsidR="009463CA">
        <w:fldChar w:fldCharType="end"/>
      </w:r>
    </w:p>
    <w:p w:rsidR="00DE089D" w:rsidRPr="00F20185" w:rsidRDefault="00DE089D" w:rsidP="00F36B34">
      <w:pPr>
        <w:pStyle w:val="TAMainText"/>
      </w:pPr>
      <w:r w:rsidRPr="00F36B34">
        <w:rPr>
          <w:i/>
        </w:rPr>
        <w:t>Ab initio</w:t>
      </w:r>
      <w:r w:rsidRPr="00F36B34">
        <w:t xml:space="preserve"> consideration of the amino acid adsorption by density functional methods showed </w:t>
      </w:r>
      <w:r w:rsidR="006D370C">
        <w:t>Asp, Lys</w:t>
      </w:r>
      <w:r w:rsidR="008E59E0">
        <w:t>,</w:t>
      </w:r>
      <w:r w:rsidR="006D370C">
        <w:t xml:space="preserve"> and </w:t>
      </w:r>
      <w:proofErr w:type="spellStart"/>
      <w:r w:rsidR="006D370C">
        <w:t>Arg</w:t>
      </w:r>
      <w:proofErr w:type="spellEnd"/>
      <w:r w:rsidR="006D370C">
        <w:t xml:space="preserve"> </w:t>
      </w:r>
      <w:r w:rsidRPr="00F36B34">
        <w:t>interact with the surface</w:t>
      </w:r>
      <w:r w:rsidR="006D370C">
        <w:t xml:space="preserve"> mainly</w:t>
      </w:r>
      <w:r w:rsidRPr="00F36B34">
        <w:t xml:space="preserve"> through the </w:t>
      </w:r>
      <w:r w:rsidR="00F36B34">
        <w:t>side c</w:t>
      </w:r>
      <w:r w:rsidR="006D370C">
        <w:t>hain</w:t>
      </w:r>
      <w:r w:rsidR="00F36B34">
        <w:t xml:space="preserve"> group</w:t>
      </w:r>
      <w:r w:rsidR="006D370C">
        <w:t>s</w:t>
      </w:r>
      <w:r w:rsidR="00F36B34">
        <w:t>.</w:t>
      </w:r>
      <w:r w:rsidR="009463CA">
        <w:fldChar w:fldCharType="begin" w:fldLock="1"/>
      </w:r>
      <w:r w:rsidR="00773999">
        <w:instrText>ADDIN CSL_CITATION {"citationItems":[{"id":"ITEM-1","itemData":{"DOI":"10.1039/c4cp03056g","abstract":"Arg, Lys and Asp amino acids are known to play a critical role in the adhesion of the RKLPDA engineered peptide on the (101) surface of the titania anatase phase. To understand their contribution to peptide adhesion, we have considered the relevant charge states due to protonation (Arg and Lys) or deprotonation (Asp) occurring in neutral water solution, and studied their adsorption on the (101) anatase TiO 2 surface by ab initio total energy calculations based on density functional theory. The adsorption configurations on the hydrated surface are compared to those on the dry surface considering also the presence of the hydration shell around amino acid side-chains. This study explains how water molecules mediate the adsorption of charged amino acids showing that protonated amino acids are chemically adsorbed much more strongly than de-protonated Asp. Moreover it is shown that the polar screening of the hydration shell reduces the adsorption energy of the protonated amino acids to a small extent, thus evidencing that both Arg and Lys strongly adhere on the (101) anatase TiO 2 surface in neutral water solution and that they play a major role in the adhesion of the RKLPDA peptide. Interfaces between biomolecules and inorganic materials are now receiving increasing attention in various fields of application ranging from nanotechnology to medicine and pharmacology. 1,2 The recent progress in combinatorial biological techniques has permitted researchers to select sequences of amino acids possessing specific affinities to inorganic targets. 1 A full under-standing of the specific affinities observed requires the atomic scale study of the processes involved such as the charge and hydrogen bond type interactions found in some studies. 3–6 We focused our attention on the titania surface as it is of funda-mental importance to develop biocompatible and bioinspired nanostructured materials. The RKLPDA peptide (Arg–Lys–Leu– Pro–Asp–Ala, minTBP-1) has been demonstrated to display a high and selective affinity to TiO 2 . 3 Experimental mutational analyses have indicated that the charged residues of Arg and Asp play a role in specific binding indicating that the recogni-tion of the substrate is dominated by electrostatic interactions. 3 The mutation of the neutral Pro reduces the peptide–surface binding affinity, 3 likely because it is known that it acts as an alpha-helix breaker and generates kinks in the peptide chains 7 conferring structural rigidity and bended confo…","author":[{"dropping-particle":"","family":"Agosta","given":"Lorenzo","non-dropping-particle":"","parse-names":false,"suffix":""},{"dropping-particle":"","family":"Zollo","given":"Giuseppe","non-dropping-particle":"","parse-names":false,"suffix":""},{"dropping-particle":"","family":"Arcangeli","given":"Caterina","non-dropping-particle":"","parse-names":false,"suffix":""},{"dropping-particle":"","family":"Buonocore","given":"Francesco","non-dropping-particle":"","parse-names":false,"suffix":""},{"dropping-particle":"","family":"Gala","given":"Fabrizio","non-dropping-particle":"","parse-names":false,"suffix":""},{"dropping-particle":"","family":"Celino","given":"Massimo","non-dropping-particle":"","parse-names":false,"suffix":""}],"container-title":"Phys. Chem. Chem. Phys.","id":"ITEM-1","issue":"17","issued":{"date-parts":[["2015"]]},"page":"1556-1561","title":"Water driven adsorption of amino acids on the (101) anatase TiO 2 surface: an ab initio study","type":"article-journal","volume":"17"},"uris":["http://www.mendeley.com/documents/?uuid=a7c5e299-d6c1-482d-b83a-b511b4fc0c62"]}],"mendeley":{"formattedCitation":"&lt;sup&gt;23&lt;/sup&gt;","plainTextFormattedCitation":"23","previouslyFormattedCitation":"&lt;sup&gt;23&lt;/sup&gt;"},"properties":{"noteIndex":0},"schema":"https://github.com/citation-style-language/schema/raw/master/csl-citation.json"}</w:instrText>
      </w:r>
      <w:r w:rsidR="009463CA">
        <w:fldChar w:fldCharType="separate"/>
      </w:r>
      <w:r w:rsidR="009463CA" w:rsidRPr="009463CA">
        <w:rPr>
          <w:noProof/>
          <w:vertAlign w:val="superscript"/>
        </w:rPr>
        <w:t>23</w:t>
      </w:r>
      <w:r w:rsidR="009463CA">
        <w:fldChar w:fldCharType="end"/>
      </w:r>
      <w:r w:rsidRPr="00F36B34">
        <w:t xml:space="preserve"> DFT analysis of the arginine adsorption on anatase (101) surface sh</w:t>
      </w:r>
      <w:r w:rsidR="006D370C">
        <w:t xml:space="preserve">owed that </w:t>
      </w:r>
      <w:r w:rsidR="006D370C" w:rsidRPr="00F20185">
        <w:t>preferred carboxylate binding occurs in bidentate</w:t>
      </w:r>
      <w:r w:rsidR="00F36B34" w:rsidRPr="00F20185">
        <w:t xml:space="preserve"> configuration.</w:t>
      </w:r>
      <w:r w:rsidR="009463CA">
        <w:fldChar w:fldCharType="begin" w:fldLock="1"/>
      </w:r>
      <w:r w:rsidR="00773999">
        <w:instrText>ADDIN CSL_CITATION {"citationItems":[{"id":"ITEM-1","itemData":{"DOI":"10.1039/C6CP02671K","ISSN":"1463-9076","abstract":"We present a comparative density functional theory (DFT) and density functional tight binding (DFTB) study of geometries and electronic structures of arginine (Arg), arginine adsorbed on the anatase (101) surface of titania in several adsorption configurations, and of an arginine-rich cell penetrating peptide TAT and its adsorption on the surface of TiO2. Two DFTB parameterizations are considered, tiorg-0-1/mio-1-1 and matsci-0-3. While there is good agreement in the structures and relative energies of Arg and peptide conformers between DFT and DFTB, both adsorption geometries and energies are noticeably different for Arg adsorbed on TiO2. The tiorg-0-1/mio-1-1 parameterization performs better than matsci-0-3. We relate this difference to the difference in electronic structures resulting from the two methods (DFT and DFTB) and specifically to the band alignment between the molecule and the oxide. We show that the band alignment of TAT and TiO2 modeled with DFTB is qualitatively correct but that with DFT using the PBE functional is not. This is specific to the modeling of large molecules where the HOMO is close to the conduction band of the oxide. We therefore report a case where the approximate DFT-based method – DFTB (with which the correct band structure can be effectively obtained) – performs better than the DFT itself with a functional approximation feasible for the modeling of large bio-inorganic interfaces, i.e. GGA (as opposed to hybrid functionals which are impractical at such a scale). Our results highlight the utility of the DFTB method for the modeling of bioinorganic interfaces not only from the CPU cost perspective but also from the accuracy point of view.","author":[{"dropping-particle":"","family":"Li","given":"Wenxuan","non-dropping-particle":"","parse-names":false,"suffix":""},{"dropping-particle":"","family":"Kotsis","given":"Konstantinos","non-dropping-particle":"","parse-names":false,"suffix":""},{"dropping-particle":"","family":"Manzhos","given":"Sergei","non-dropping-particle":"","parse-names":false,"suffix":""}],"container-title":"Phys. Chem. Chem. Phys.","id":"ITEM-1","issue":"29","issued":{"date-parts":[["2016"]]},"page":"19902-19917","publisher":"Royal Society of Chemistry","title":"Comparative density functional theory and density functional tight binding study of arginine and arginine-rich cell penetrating peptide TAT adsorption on anatase TiO &lt;sub&gt;2&lt;/sub&gt;","type":"article-journal","volume":"18"},"uris":["http://www.mendeley.com/documents/?uuid=c51b5c39-2e09-4b86-8a9e-01b9d3e65894"]}],"mendeley":{"formattedCitation":"&lt;sup&gt;24&lt;/sup&gt;","plainTextFormattedCitation":"24","previouslyFormattedCitation":"&lt;sup&gt;24&lt;/sup&gt;"},"properties":{"noteIndex":0},"schema":"https://github.com/citation-style-language/schema/raw/master/csl-citation.json"}</w:instrText>
      </w:r>
      <w:r w:rsidR="009463CA">
        <w:fldChar w:fldCharType="separate"/>
      </w:r>
      <w:r w:rsidR="009463CA" w:rsidRPr="009463CA">
        <w:rPr>
          <w:noProof/>
          <w:vertAlign w:val="superscript"/>
        </w:rPr>
        <w:t>24</w:t>
      </w:r>
      <w:r w:rsidR="009463CA">
        <w:fldChar w:fldCharType="end"/>
      </w:r>
      <w:r w:rsidRPr="00F20185">
        <w:t xml:space="preserve"> DFT study of adsorption of 11 amino acids on anatase (101) showed that three types of interaction determine the amino acid adsorption: </w:t>
      </w:r>
      <w:r w:rsidR="00BA4A3E" w:rsidRPr="00F20185">
        <w:t>(</w:t>
      </w:r>
      <w:proofErr w:type="spellStart"/>
      <w:r w:rsidR="00BA4A3E" w:rsidRPr="00F20185">
        <w:t>i</w:t>
      </w:r>
      <w:proofErr w:type="spellEnd"/>
      <w:r w:rsidR="00BA4A3E" w:rsidRPr="00F20185">
        <w:t xml:space="preserve">) </w:t>
      </w:r>
      <w:r w:rsidRPr="00F20185">
        <w:t>dative bonds between O and N atoms (of the backbone and the lateral chains) and surface Ti atoms, (ii) H-bonds between the amino acids and the surface an</w:t>
      </w:r>
      <w:r w:rsidR="00F36B34" w:rsidRPr="00F20185">
        <w:t>d (iii) dispersion interaction.</w:t>
      </w:r>
      <w:r w:rsidR="00AC7642">
        <w:fldChar w:fldCharType="begin" w:fldLock="1"/>
      </w:r>
      <w:r w:rsidR="00773999">
        <w:instrText>ADDIN CSL_CITATION {"citationItems":[{"id":"ITEM-1","itemData":{"DOI":"10.1021/acs.jpcc.7b03305","ISSN":"19327455","abstract":"© 2017 American Chemical Society. The interaction of 11 amino acids with the TiO 2  (101) anatase surface was investigated by means of PBE-D2</w:instrText>
      </w:r>
      <w:r w:rsidR="00773999">
        <w:rPr>
          <w:rFonts w:ascii="Cambria Math" w:hAnsi="Cambria Math" w:cs="Cambria Math"/>
        </w:rPr>
        <w:instrText>∗</w:instrText>
      </w:r>
      <w:r w:rsidR="00773999">
        <w:instrText xml:space="preserve"> periodic simulations, both from a static and dynamic points of view. Several adsorption states, with the amino acid in its canonical, zwitterionic, or deprotonated forms, were considered. The strongest interactions correspond to dative interactions between the electron pairs of N or O atoms of the amino acids and the Ti atoms of the surface. For glycine, the most stable configuration corresponds to the deprotonated (N,O) binding mode, at variance to that observed for the adsorption of glycine on rutile (110) surface, for which the dissociative (O,O) binding mode was determined to be the preferred one. For the remaining amino acids, the following general trend was identified: those amino acids with acidic or a basic lateral chain groups, except Arg, exhibit a deprotonated (N,O) binding mode as glycine, because the additional dative interactions with the side chain overcome the destabilizing effect induced by steric hindrances. However, for the remaining amino acids, with weaker side chain interactions, the zwitterionic state is the most stable conformer because the steric hindrances between the lateral chains and the surface are minimized. Overall, the present results indicate that the most stable amino acid adsorption state on the surface arises from a delicate balance between favorable interactions and steric hindrances of the amino acids with the surface, the latter ones becoming particularly relevant when lateral chains are considered.","author":[{"dropping-particle":"","family":"Pantaleone","given":"Stefano","non-dropping-particle":"","parse-names":false,"suffix":""},{"dropping-particle":"","family":"Rimola","given":"Albert","non-dropping-particle":"","parse-names":false,"suffix":""},{"dropping-particle":"","family":"Sodupe","given":"Mariona","non-dropping-particle":"","parse-names":false,"suffix":""}],"container-title":"Journal of Physical Chemistry C","id":"ITEM-1","issue":"26","issued":{"date-parts":[["2017"]]},"page":"14156-14165","title":"Canonical, Deprotonated, or Zwitterionic? A Computational Study on Amino Acid Interaction with the TiO2(101) Anatase Surface","type":"article-journal","volume":"121"},"uris":["http://www.mendeley.com/documents/?uuid=77d67ede-248a-4c18-ae53-42f98aae5e0b"]}],"mendeley":{"formattedCitation":"&lt;sup&gt;25&lt;/sup&gt;","plainTextFormattedCitation":"25","previouslyFormattedCitation":"&lt;sup&gt;25&lt;/sup&gt;"},"properties":{"noteIndex":0},"schema":"https://github.com/citation-style-language/schema/raw/master/csl-citation.json"}</w:instrText>
      </w:r>
      <w:r w:rsidR="00AC7642">
        <w:fldChar w:fldCharType="separate"/>
      </w:r>
      <w:r w:rsidR="00AC7642" w:rsidRPr="00AC7642">
        <w:rPr>
          <w:noProof/>
          <w:vertAlign w:val="superscript"/>
        </w:rPr>
        <w:t>25</w:t>
      </w:r>
      <w:r w:rsidR="00AC7642">
        <w:fldChar w:fldCharType="end"/>
      </w:r>
    </w:p>
    <w:p w:rsidR="005532D4" w:rsidRDefault="006D370C" w:rsidP="00F36B34">
      <w:pPr>
        <w:pStyle w:val="TAMainText"/>
        <w:rPr>
          <w:strike/>
          <w:color w:val="000000" w:themeColor="text1"/>
        </w:rPr>
      </w:pPr>
      <w:r w:rsidRPr="00444608">
        <w:rPr>
          <w:color w:val="000000" w:themeColor="text1"/>
        </w:rPr>
        <w:t xml:space="preserve">The MD simulations of amino acid side chain </w:t>
      </w:r>
      <w:r w:rsidR="009A32EF" w:rsidRPr="00561565">
        <w:rPr>
          <w:noProof/>
          <w:color w:val="000000" w:themeColor="text1"/>
        </w:rPr>
        <w:t>analogue</w:t>
      </w:r>
      <w:r w:rsidRPr="00561565">
        <w:rPr>
          <w:noProof/>
          <w:color w:val="000000" w:themeColor="text1"/>
        </w:rPr>
        <w:t>s</w:t>
      </w:r>
      <w:r w:rsidRPr="00444608">
        <w:rPr>
          <w:color w:val="000000" w:themeColor="text1"/>
        </w:rPr>
        <w:t xml:space="preserve"> adsorption at the aqueous rutile (110)</w:t>
      </w:r>
      <w:r w:rsidRPr="00444608">
        <w:rPr>
          <w:strike/>
          <w:color w:val="000000" w:themeColor="text1"/>
        </w:rPr>
        <w:t xml:space="preserve"> </w:t>
      </w:r>
      <w:r w:rsidR="00444608" w:rsidRPr="005532D4">
        <w:t>done by the Brandt and Lyubartsev</w:t>
      </w:r>
      <w:r w:rsidR="00444608" w:rsidRPr="005532D4">
        <w:rPr>
          <w:color w:val="000000" w:themeColor="text1"/>
        </w:rPr>
        <w:fldChar w:fldCharType="begin" w:fldLock="1"/>
      </w:r>
      <w:r w:rsidR="00773999" w:rsidRPr="005532D4">
        <w:rPr>
          <w:color w:val="000000" w:themeColor="text1"/>
        </w:rPr>
        <w:instrText>ADDIN CSL_CITATION {"citationItems":[{"id":"ITEM-1","itemData":{"DOI":"10.1021/acs.jpcc.5b02670","ISSN":"1932-7447","abstract":"Adsorption profiles and adsorption free energies were determined for the side chain analogues of the 20 naturally occurring amino acids and a titanium binding peptide on the TiO2 (100) surface. Microsecond simulations with umbrella sampling and metadynamics were used to sample the free energy barriers associated with desolvation of strongly bound water molecules at the TiO2 surface. Polar and aromatic side chain analogues that hydrogen bond either to surface waters or directly to the metal oxide surface were found to be the strongest binders. Further, adsorption simulations of a 6-residue titanium binding peptide identified two binding modes on TiO2 (100). The peptide structure with lowest free energy was shown to be stabilized by a salt bridge between the end termini. A comparison between the free energies of the side chain analogues of the peptide sequence and the peptide itself shows that the free energy contributions are not additive. The simulations emphasize that tightly bound surface waters play a ...","author":[{"dropping-particle":"","family":"Brandt","given":"Erik G.","non-dropping-particle":"","parse-names":false,"suffix":""},{"dropping-particle":"","family":"Lyubartsev","given":"Alexander P.","non-dropping-particle":"","parse-names":false,"suffix":""}],"container-title":"The Journal of Physical Chemistry C","id":"ITEM-1","issue":"32","issued":{"date-parts":[["2015"]]},"page":"18126-18139","title":"Molecular Dynamics Simulations of Adsorption of Amino Acid Side Chain Analogues and a Titanium Binding Peptide on the TiO &lt;sub&gt;2&lt;/sub&gt; (100) Surface","type":"article-journal","volume":"119"},"uris":["http://www.mendeley.com/documents/?uuid=b1a5c1ff-8b61-4088-bfa4-25da5778bef1"]}],"mendeley":{"formattedCitation":"&lt;sup&gt;26&lt;/sup&gt;","plainTextFormattedCitation":"26","previouslyFormattedCitation":"&lt;sup&gt;26&lt;/sup&gt;"},"properties":{"noteIndex":0},"schema":"https://github.com/citation-style-language/schema/raw/master/csl-citation.json"}</w:instrText>
      </w:r>
      <w:r w:rsidR="00444608" w:rsidRPr="005532D4">
        <w:rPr>
          <w:color w:val="000000" w:themeColor="text1"/>
        </w:rPr>
        <w:fldChar w:fldCharType="separate"/>
      </w:r>
      <w:r w:rsidR="00773999" w:rsidRPr="005532D4">
        <w:rPr>
          <w:noProof/>
          <w:color w:val="000000" w:themeColor="text1"/>
          <w:vertAlign w:val="superscript"/>
        </w:rPr>
        <w:t>26</w:t>
      </w:r>
      <w:r w:rsidR="00444608" w:rsidRPr="005532D4">
        <w:rPr>
          <w:color w:val="000000" w:themeColor="text1"/>
        </w:rPr>
        <w:fldChar w:fldCharType="end"/>
      </w:r>
      <w:r w:rsidR="00444608" w:rsidRPr="005532D4">
        <w:fldChar w:fldCharType="begin" w:fldLock="1"/>
      </w:r>
      <w:r w:rsidR="00773999" w:rsidRPr="005532D4">
        <w:instrText>ADDIN CSL_CITATION {"citationItems":[{"id":"ITEM-1","itemData":{"DOI":"10.1021/acs.jpcc.5b02670","ISSN":"1932-7447","abstract":"Adsorption profiles and adsorption free energies were determined for the side chain analogues of the 20 naturally occurring amino acids and a titanium binding peptide on the TiO2 (100) surface. Microsecond simulations with umbrella sampling and metadynamics were used to sample the free energy barriers associated with desolvation of strongly bound water molecules at the TiO2 surface. Polar and aromatic side chain analogues that hydrogen bond either to surface waters or directly to the metal oxide surface were found to be the strongest binders. Further, adsorption simulations of a 6-residue titanium binding peptide identified two binding modes on TiO2 (100). The peptide structure with lowest free energy was shown to be stabilized by a salt bridge between the end termini. A comparison between the free energies of the side chain analogues of the peptide sequence and the peptide itself shows that the free energy contributions are not additive. The simulations emphasize that tightly bound surface waters play a ...","author":[{"dropping-particle":"","family":"Brandt","given":"Erik G.","non-dropping-particle":"","parse-names":false,"suffix":""},{"dropping-particle":"","family":"Lyubartsev","given":"Alexander P.","non-dropping-particle":"","parse-names":false,"suffix":""}],"container-title":"The Journal of Physical Chemistry C","id":"ITEM-1","issue":"32","issued":{"date-parts":[["2015"]]},"page":"18126-18139","title":"Molecular Dynamics Simulations of Adsorption of Amino Acid Side Chain Analogues and a Titanium Binding Peptide on the TiO &lt;sub&gt;2&lt;/sub&gt; (100) Surface","type":"article-journal","volume":"119"},"uris":["http://www.mendeley.com/documents/?uuid=892ebdde-6232-4eb0-a1ab-b16e2fa5844d","http://www.mendeley.com/documents/?uuid=0ac88bf8-6c76-45c0-8dd4-a8d8dd30ad68"]}],"mendeley":{"formattedCitation":"&lt;sup&gt;26&lt;/sup&gt;","plainTextFormattedCitation":"26","previouslyFormattedCitation":"&lt;sup&gt;26&lt;/sup&gt;"},"properties":{"noteIndex":0},"schema":"https://github.com/citation-style-language/schema/raw/master/csl-citation.json"}</w:instrText>
      </w:r>
      <w:r w:rsidR="00444608" w:rsidRPr="005532D4">
        <w:fldChar w:fldCharType="end"/>
      </w:r>
      <w:r w:rsidR="00444608" w:rsidRPr="005532D4">
        <w:t xml:space="preserve"> emphasize that tightly bound surface waters play a key role for peptide and protein structures when bound to inorganic surfaces in biological environments. Similar studies indicated that serine side chain </w:t>
      </w:r>
      <w:r w:rsidR="00444608" w:rsidRPr="00561565">
        <w:rPr>
          <w:noProof/>
        </w:rPr>
        <w:t>analogue</w:t>
      </w:r>
      <w:r w:rsidR="00444608" w:rsidRPr="005532D4">
        <w:t xml:space="preserve"> (methanol) featured a hydrogen bonding to the surface.</w:t>
      </w:r>
      <w:r w:rsidR="00444608" w:rsidRPr="005532D4">
        <w:rPr>
          <w:color w:val="000000" w:themeColor="text1"/>
        </w:rPr>
        <w:fldChar w:fldCharType="begin" w:fldLock="1"/>
      </w:r>
      <w:r w:rsidR="00773999" w:rsidRPr="005532D4">
        <w:rPr>
          <w:color w:val="000000" w:themeColor="text1"/>
        </w:rPr>
        <w:instrText>ADDIN CSL_CITATION {"citationItems":[{"id":"ITEM-1","itemData":{"DOI":"10.1021/jp107859q","ISBN":"1932-7447","ISSN":"19327447","abstract":"The potential of mean constraint force approach, in partnership with atomistic molecular dynamics simulations, is used to calculate the change in free energy upon adsorption of amino acid side chain analogues at the aqueous rutile titania (110) interface. Our results indicate that both positively charged and negatively charged moieties have favorable free energy of binding to the titania surface. Stable contact, mediated via the first two solvent layers at the interface, is also indicated for the charged adsorbates. Hydrophobic adsorbates showed no appreciable binding to the titania surface. In contrast, the binding for our serine analogue (methanol) features a slight possibility to bind via hydrogen bonding to the titania surface. Our calculated results indicate very good agreement with available experimental data. In partnership with other information regarding peptide conformation and intrapeptide interactions, our findings should be helpful in building design principles for peptide sequences with predictable and controllable binding to titania.","author":[{"dropping-particle":"","family":"Monti","given":"S.","non-dropping-particle":"","parse-names":false,"suffix":""},{"dropping-particle":"","family":"Walsh","given":"T. R.","non-dropping-particle":"","parse-names":false,"suffix":""}],"container-title":"Journal of Physical Chemistry C","id":"ITEM-1","issued":{"date-parts":[["2010"]]},"title":"Free energy calculations of the adsorption of amino acid analogues at the aqueous titania interface","type":"article-journal"},"uris":["http://www.mendeley.com/documents/?uuid=57094c7e-9aea-47dd-b593-f06a1e940547"]},{"id":"ITEM-2","itemData":{"DOI":"10.1021/la503312d","ISBN":"0743-7463, 1520-5827","ISSN":"15205827","PMID":"25317483","abstract":"Despite the extensive utilization of biomolecule-titania interfaces, biomolecular recognition and interactions at the aqueous titania interface remain far from being fully understood. Here, atomistic molecular dynamics simulations, in partnership with metadynamics, are used to calculate the free energy of adsorption of different amino acid side chain analogues at the negatively-charged aqueous rutile TiO2 (110) interface, under conditions corresponding with neutral pH. Our calculations predict that charged amino acid analogues have a relatively high affinity to the titania surface, with the arginine analogue predicted to be the strongest binder. Interactions between uncharged amino acid analogues and titania are found to be repulsive or weak at best. All of the residues that bound to the negatively-charged interface show a relatively stronger adsorption compared with the charge-neutral interface, including the negatively-charged analogue. Of the analogues that are found to bind to the titania surface, the rank ordering of the binding affinities is predicted to be \"arginine\" &gt; \"lysine\" ≈ aspartic acid &gt; \"serine\". This is the same ordering as was found previously for the charge-neutral aqueous titania interface. Our results show very good agreement with available experimental data and can provide a baseline for the interpretation of peptide-TiO2 adsorption data.","author":[{"dropping-particle":"","family":"Sultan","given":"Anas M.","non-dropping-particle":"","parse-names":false,"suffix":""},{"dropping-particle":"","family":"Hughes","given":"Zak E.","non-dropping-particle":"","parse-names":false,"suffix":""},{"dropping-particle":"","family":"Walsh","given":"Tiffany R.","non-dropping-particle":"","parse-names":false,"suffix":""}],"container-title":"Langmuir","id":"ITEM-2","issued":{"date-parts":[["2014"]]},"title":"Binding affinities of amino acid analogues at the charged aqueous titania interface: Implications for titania-binding peptides","type":"article-journal"},"uris":["http://www.mendeley.com/documents/?uuid=bd4a19db-1571-4895-8b61-04adc22348f3"]}],"mendeley":{"formattedCitation":"&lt;sup&gt;27,28&lt;/sup&gt;","plainTextFormattedCitation":"27,28","previouslyFormattedCitation":"&lt;sup&gt;27,28&lt;/sup&gt;"},"properties":{"noteIndex":0},"schema":"https://github.com/citation-style-language/schema/raw/master/csl-citation.json"}</w:instrText>
      </w:r>
      <w:r w:rsidR="00444608" w:rsidRPr="005532D4">
        <w:rPr>
          <w:color w:val="000000" w:themeColor="text1"/>
        </w:rPr>
        <w:fldChar w:fldCharType="separate"/>
      </w:r>
      <w:r w:rsidR="00773999" w:rsidRPr="005532D4">
        <w:rPr>
          <w:noProof/>
          <w:color w:val="000000" w:themeColor="text1"/>
          <w:vertAlign w:val="superscript"/>
        </w:rPr>
        <w:t>27,28</w:t>
      </w:r>
      <w:r w:rsidR="00444608" w:rsidRPr="005532D4">
        <w:rPr>
          <w:color w:val="000000" w:themeColor="text1"/>
        </w:rPr>
        <w:fldChar w:fldCharType="end"/>
      </w:r>
      <w:r w:rsidR="00444608" w:rsidRPr="00444608">
        <w:rPr>
          <w:highlight w:val="green"/>
        </w:rPr>
        <w:fldChar w:fldCharType="begin" w:fldLock="1"/>
      </w:r>
      <w:r w:rsidR="00773999">
        <w:rPr>
          <w:highlight w:val="green"/>
        </w:rPr>
        <w:instrText>ADDIN CSL_CITATION {"citationItems":[{"id":"ITEM-1","itemData":{"DOI":"10.1021/jp107859q","ISBN":"1932-7447","ISSN":"19327447","abstract":"The potential of mean constraint force approach, in partnership with atomistic molecular dynamics simulations, is used to calculate the change in free energy upon adsorption of amino acid side chain analogues at the aqueous rutile titania (110) interface. Our results indicate that both positively charged and negatively charged moieties have favorable free energy of binding to the titania surface. Stable contact, mediated via the first two solvent layers at the interface, is also indicated for the charged adsorbates. Hydrophobic adsorbates showed no appreciable binding to the titania surface. In contrast, the binding for our serine analogue (methanol) features a slight possibility to bind via hydrogen bonding to the titania surface. Our calculated results indicate very good agreement with available experimental data. In partnership with other information regarding peptide conformation and intrapeptide interactions, our findings should be helpful in building design principles for peptide sequences with predictable and controllable binding to titania.","author":[{"dropping-particle":"","family":"Monti","given":"S.","non-dropping-particle":"","parse-names":false,"suffix":""},{"dropping-particle":"","family":"Walsh","given":"T. R.","non-dropping-particle":"","parse-names":false,"suffix":""}],"container-title":"Journal of Physical Chemistry C","id":"ITEM-1","issued":{"date-parts":[["2010"]]},"title":"Free energy calculations of the adsorption of amino acid analogues at the aqueous titania interface","type":"article-journal"},"uris":["http://www.mendeley.com/documents/?uuid=75913a94-af6d-41c4-9c03-128afca38f92"]},{"id":"ITEM-2","itemData":{"DOI":"10.1021/la503312d","ISBN":"0743-7463, 1520-5827","ISSN":"15205827","PMID":"25317483","abstract":"Despite the extensive utilization of biomolecule-titania interfaces, biomolecular recognition and interactions at the aqueous titania interface remain far from being fully understood. Here, atomistic molecular dynamics simulations, in partnership with metadynamics, are used to calculate the free energy of adsorption of different amino acid side chain analogues at the negatively-charged aqueous rutile TiO2 (110) interface, under conditions corresponding with neutral pH. Our calculations predict that charged amino acid analogues have a relatively high affinity to the titania surface, with the arginine analogue predicted to be the strongest binder. Interactions between uncharged amino acid analogues and titania are found to be repulsive or weak at best. All of the residues that bound to the negatively-charged interface show a relatively stronger adsorption compared with the charge-neutral interface, including the negatively-charged analogue. Of the analogues that are found to bind to the titania surface, the rank ordering of the binding affinities is predicted to be \"arginine\" &gt; \"lysine\" ≈ aspartic acid &gt; \"serine\". This is the same ordering as was found previously for the charge-neutral aqueous titania interface. Our results show very good agreement with available experimental data and can provide a baseline for the interpretation of peptide-TiO2 adsorption data.","author":[{"dropping-particle":"","family":"Sultan","given":"Anas M.","non-dropping-particle":"","parse-names":false,"suffix":""},{"dropping-particle":"","family":"Hughes","given":"Zak E.","non-dropping-particle":"","parse-names":false,"suffix":""},{"dropping-particle":"","family":"Walsh","given":"Tiffany R.","non-dropping-particle":"","parse-names":false,"suffix":""}],"container-title":"Langmuir","id":"ITEM-2","issued":{"date-parts":[["2014"]]},"title":"Binding affinities of amino acid analogues at the charged aqueous titania interface: Implications for titania-binding peptides","type":"article-journal"},"uris":["http://www.mendeley.com/documents/?uuid=c9f82d60-9b15-46a2-8c8b-aedddcd5f545"]}],"mendeley":{"formattedCitation":"&lt;sup&gt;27,28&lt;/sup&gt;","plainTextFormattedCitation":"27,28","previouslyFormattedCitation":"&lt;sup&gt;27,28&lt;/sup&gt;"},"properties":{"noteIndex":0},"schema":"https://github.com/citation-style-language/schema/raw/master/csl-citation.json"}</w:instrText>
      </w:r>
      <w:r w:rsidR="00444608" w:rsidRPr="00444608">
        <w:rPr>
          <w:highlight w:val="green"/>
        </w:rPr>
        <w:fldChar w:fldCharType="end"/>
      </w:r>
      <w:r w:rsidR="00444608" w:rsidRPr="007340F6">
        <w:t xml:space="preserve"> </w:t>
      </w:r>
    </w:p>
    <w:p w:rsidR="00DE089D" w:rsidRPr="00444608" w:rsidRDefault="00DE089D" w:rsidP="00F36B34">
      <w:pPr>
        <w:pStyle w:val="TAMainText"/>
        <w:rPr>
          <w:color w:val="000000" w:themeColor="text1"/>
        </w:rPr>
      </w:pPr>
      <w:r w:rsidRPr="00444608">
        <w:rPr>
          <w:color w:val="000000" w:themeColor="text1"/>
        </w:rPr>
        <w:lastRenderedPageBreak/>
        <w:t>Adsorption of glycine, methionine, serine</w:t>
      </w:r>
      <w:r w:rsidR="008E59E0" w:rsidRPr="00444608">
        <w:rPr>
          <w:color w:val="000000" w:themeColor="text1"/>
        </w:rPr>
        <w:t>,</w:t>
      </w:r>
      <w:r w:rsidRPr="00444608">
        <w:rPr>
          <w:color w:val="000000" w:themeColor="text1"/>
        </w:rPr>
        <w:t xml:space="preserve"> and cysteine on rutile (100) and (110) simulated by MD methods</w:t>
      </w:r>
      <w:r w:rsidR="00BF4FEC" w:rsidRPr="00444608">
        <w:rPr>
          <w:color w:val="000000" w:themeColor="text1"/>
        </w:rPr>
        <w:t xml:space="preserve"> </w:t>
      </w:r>
      <w:r w:rsidR="006D160E" w:rsidRPr="00444608">
        <w:rPr>
          <w:color w:val="000000" w:themeColor="text1"/>
        </w:rPr>
        <w:t>show week surface binding of both the carboxyl groups and ammonium groups</w:t>
      </w:r>
      <w:r w:rsidRPr="00444608">
        <w:rPr>
          <w:color w:val="000000" w:themeColor="text1"/>
        </w:rPr>
        <w:t>. Also, authors first indicated the equivalence of sorbate-sorbent an</w:t>
      </w:r>
      <w:r w:rsidR="00F36B34" w:rsidRPr="00444608">
        <w:rPr>
          <w:color w:val="000000" w:themeColor="text1"/>
        </w:rPr>
        <w:t>d sorbate-sorbate interactions.</w:t>
      </w:r>
      <w:r w:rsidR="00AC7642" w:rsidRPr="00444608">
        <w:rPr>
          <w:color w:val="000000" w:themeColor="text1"/>
        </w:rPr>
        <w:fldChar w:fldCharType="begin" w:fldLock="1"/>
      </w:r>
      <w:r w:rsidR="00773999">
        <w:rPr>
          <w:color w:val="000000" w:themeColor="text1"/>
        </w:rPr>
        <w:instrText>ADDIN CSL_CITATION {"citationItems":[{"id":"ITEM-1","itemData":{"DOI":"10.1016/S0039-6028(03)00723-4","ISBN":"0039-6028","ISSN":"00396028","abstract":"The adsorption of glycine, methionine, serine, and cysteine on partially hydroxylated rutile (100) and (110) surfaces was simulated by first principles molecular dynamics. Perfect surfaces and well known defects such as oxygen vacancies and facets were modelled. In most runs the simulation cell was filled with H2O molecules up to standard density. Binding of the carboxyl groups to the surface through hydrogen bonds and Ti-O interaction is weak in all cases. The adsorbate-substrate interactions do not seem to be significantly stronger than adsorbate-adsorbate hydrogen bonds. The NH3+-group of the zwitterion showed only weak interaction with the surface oxygen atoms and rotated around its figure axis. More stable configurations are attained by ester condensation of the carboxyl group and a basic surface hydroxyl group and by the formation of a bond between a deprotonated hydroxyl or thiol group of serine or cysteine, respectively, and a surface Ti. Calculations suggest that these groups bind to the perfect surface rather than inserting into oxygen vacancies. © 2003 Elsevier Science B.V. All rights reserved.","author":[{"dropping-particle":"","family":"Langel","given":"Walter","non-dropping-particle":"","parse-names":false,"suffix":""},{"dropping-particle":"","family":"Menken","given":"Lars","non-dropping-particle":"","parse-names":false,"suffix":""}],"container-title":"Surface Science","id":"ITEM-1","issue":"1-2","issued":{"date-parts":[["2003"]]},"page":"1-9","title":"Simulation of the interface between titanium oxide and amino acids in solution by first principles MD","type":"article-journal","volume":"538"},"uris":["http://www.mendeley.com/documents/?uuid=6599ad96-76ff-41a7-ab68-c1667299c6a0"]}],"mendeley":{"formattedCitation":"&lt;sup&gt;29&lt;/sup&gt;","plainTextFormattedCitation":"29","previouslyFormattedCitation":"&lt;sup&gt;29&lt;/sup&gt;"},"properties":{"noteIndex":0},"schema":"https://github.com/citation-style-language/schema/raw/master/csl-citation.json"}</w:instrText>
      </w:r>
      <w:r w:rsidR="00AC7642" w:rsidRPr="00444608">
        <w:rPr>
          <w:color w:val="000000" w:themeColor="text1"/>
        </w:rPr>
        <w:fldChar w:fldCharType="separate"/>
      </w:r>
      <w:r w:rsidR="00AC7642" w:rsidRPr="00444608">
        <w:rPr>
          <w:noProof/>
          <w:color w:val="000000" w:themeColor="text1"/>
          <w:vertAlign w:val="superscript"/>
        </w:rPr>
        <w:t>29</w:t>
      </w:r>
      <w:r w:rsidR="00AC7642" w:rsidRPr="00444608">
        <w:rPr>
          <w:color w:val="000000" w:themeColor="text1"/>
        </w:rPr>
        <w:fldChar w:fldCharType="end"/>
      </w:r>
      <w:r w:rsidRPr="00444608">
        <w:rPr>
          <w:color w:val="000000" w:themeColor="text1"/>
        </w:rPr>
        <w:t xml:space="preserve"> </w:t>
      </w:r>
      <w:r w:rsidR="006D160E" w:rsidRPr="00444608">
        <w:rPr>
          <w:color w:val="000000" w:themeColor="text1"/>
        </w:rPr>
        <w:t>MD investigation of the twenty standard amino acids interacting with TiO</w:t>
      </w:r>
      <w:r w:rsidR="006D160E" w:rsidRPr="00444608">
        <w:rPr>
          <w:color w:val="000000" w:themeColor="text1"/>
          <w:vertAlign w:val="subscript"/>
        </w:rPr>
        <w:t>2</w:t>
      </w:r>
      <w:r w:rsidR="006D160E" w:rsidRPr="00444608">
        <w:rPr>
          <w:color w:val="000000" w:themeColor="text1"/>
        </w:rPr>
        <w:t xml:space="preserve"> NPs showed charged amino acid – </w:t>
      </w:r>
      <w:proofErr w:type="spellStart"/>
      <w:r w:rsidR="006D160E" w:rsidRPr="00444608">
        <w:rPr>
          <w:color w:val="000000" w:themeColor="text1"/>
        </w:rPr>
        <w:t>Arg</w:t>
      </w:r>
      <w:proofErr w:type="spellEnd"/>
      <w:r w:rsidR="006D160E" w:rsidRPr="00444608">
        <w:rPr>
          <w:color w:val="000000" w:themeColor="text1"/>
        </w:rPr>
        <w:t xml:space="preserve">, Lys, </w:t>
      </w:r>
      <w:proofErr w:type="spellStart"/>
      <w:r w:rsidR="006D160E" w:rsidRPr="00444608">
        <w:rPr>
          <w:color w:val="000000" w:themeColor="text1"/>
        </w:rPr>
        <w:t>Glu</w:t>
      </w:r>
      <w:proofErr w:type="spellEnd"/>
      <w:r w:rsidR="006D160E" w:rsidRPr="00444608">
        <w:rPr>
          <w:color w:val="000000" w:themeColor="text1"/>
        </w:rPr>
        <w:t>, and Asp – adsorb significantly stronger than non-charged amino acids, which is in good agreement with recent experimental findings</w:t>
      </w:r>
      <w:r w:rsidR="00AC7642" w:rsidRPr="00444608">
        <w:rPr>
          <w:color w:val="000000" w:themeColor="text1"/>
        </w:rPr>
        <w:fldChar w:fldCharType="begin" w:fldLock="1"/>
      </w:r>
      <w:r w:rsidR="00773999">
        <w:rPr>
          <w:color w:val="000000" w:themeColor="text1"/>
        </w:rPr>
        <w:instrText xml:space="preserve">ADDIN CSL_CITATION {"citationItems":[{"id":"ITEM-1","itemData":{"DOI":"10.1021/la980425n","abstract":"The first in situ internal reflection infrared spectroscopic study of lysine adsorption from an aqueous solution to TiO2 films is reported. The infrared spectrum of lysine adsorbed to TiO2 from an aqueous solution at an intermediate pH of </w:instrText>
      </w:r>
      <w:r w:rsidR="00773999">
        <w:rPr>
          <w:rFonts w:ascii="Cambria Math" w:hAnsi="Cambria Math" w:cs="Cambria Math"/>
          <w:color w:val="000000" w:themeColor="text1"/>
        </w:rPr>
        <w:instrText>∼</w:instrText>
      </w:r>
      <w:r w:rsidR="00773999">
        <w:rPr>
          <w:color w:val="000000" w:themeColor="text1"/>
        </w:rPr>
        <w:instrText xml:space="preserve">5-7 strongly resembles that of solution lysine, indicating that lysine is electrostatically adsorbed. At this pH, favorable electrostatic interactions occur between the lysine cation and the negatively charged TiO2 film (point of zero charge at pH </w:instrText>
      </w:r>
      <w:r w:rsidR="00773999">
        <w:rPr>
          <w:rFonts w:ascii="Cambria Math" w:hAnsi="Cambria Math" w:cs="Cambria Math"/>
          <w:color w:val="000000" w:themeColor="text1"/>
        </w:rPr>
        <w:instrText>∼</w:instrText>
      </w:r>
      <w:r w:rsidR="00773999">
        <w:rPr>
          <w:color w:val="000000" w:themeColor="text1"/>
        </w:rPr>
        <w:instrText xml:space="preserve">5). A Langmuir isotherm analysis was used to obtain an equilibrium constant for lysine adsorption at pH 7.4 of 3 </w:instrText>
      </w:r>
      <w:r w:rsidR="00773999">
        <w:rPr>
          <w:rFonts w:cs="Times"/>
          <w:color w:val="000000" w:themeColor="text1"/>
        </w:rPr>
        <w:instrText>×</w:instrText>
      </w:r>
      <w:r w:rsidR="00773999">
        <w:rPr>
          <w:color w:val="000000" w:themeColor="text1"/>
        </w:rPr>
        <w:instrText xml:space="preserve"> 10 3 M -1 , consistent with an electrostatically adsorbed surface species. Increasing the crystallinity of the TiO2 film did not affect lysine adsorption. The surface titration by internal reflection spectroscopy (STIRS) technique has been used to investigate the effect of pH change on lysine adsorption to TiO2. Maximum lysine adsorption to TiO2 occurs near the lysine isoelectric point of 9.8.","author":[{"dropping-particle":"","family":"Roddick-Lanzilotta","given":"Alisa D","non-dropping-particle":"","parse-names":false,"suffix":""},{"dropping-particle":"","family":"Connor","given":"Paul A","non-dropping-particle":"","parse-names":false,"suffix":""},{"dropping-particle":"","family":"Mcquillan","given":"A James","non-dropping-particle":"","parse-names":false,"suffix":""}],"container-title":"Langmuir","id":"ITEM-1","issued":{"date-parts":[["1998"]]},"page":"6479-6484","title":"An In Situ Infrared Spectroscopic Study of the Adsorption of Lysine to TiO 2 from an Aqueous Solution","type":"article-journal","volume":"14"},"uris":["http://www.mendeley.com/documents/?uuid=72db7211-e67b-457d-85c3-fe7a430b499f"]},{"id":"ITEM-2","itemData":{"DOI":"10.1016/j.vibspec.2008.07.014","ISSN":"09242031","abstract":"Sum frequency generation vibrational spectroscopy (SFG) is a powerful tool for in situ investigation of adsorption processes at biologically important solid-liquid interfaces. In this work adsorption of different amino acids was investigated by SFG at the titanium-dioxide-amino acid solution interface. While both naturally occurring acidic amino acids, aspartic acid and glutamic acid, were found to form an ordered adsorbate layer, amino acids with non-acidic side chains exhibited little affinity towards TiO2. A detailed study of aspartic acid on TiO2 pointed out that both carboxylic groups of the molecule are coordinated to the surface; data taken in the carboxyl stretching frequency range revealed that one of them is bonded monodentally to a surface Ti ion, while the other is most probably stabilized by a hydrogen bond. The results indicate that the acidic side chain is the prerequisite of the formation of a stable, ordered amino acid adsorbate layer on TiO2. © 2008 Elsevier B.V. All rights reserved.","author":[{"dropping-particle":"","family":"Pászti","given":"Z.","non-dropping-particle":"","parse-names":false,"suffix":""},{"dropping-particle":"","family":"Guczi","given":"L.","non-dropping-particle":"","parse-names":false,"suffix":""}],"container-title":"Vibrational Spectroscopy","id":"ITEM-2","issue":"1","issued":{"date-parts":[["2009"]]},"page":"48-56","title":"Amino acid adsorption on hydrophilic TiO2: A sum frequency generation vibrational spectroscopy study","type":"article-journal","volume":"50"},"uris":["http://www.mendeley.com/documents/?uuid=8e0ce918-1e74-4338-aea7-0918f3702c44"]}],"mendeley":{"formattedCitation":"&lt;sup&gt;13,18&lt;/sup&gt;","plainTextFormattedCitation":"13,18","previouslyFormattedCitation":"&lt;sup&gt;13,18&lt;/sup&gt;"},"properties":{"noteIndex":0},"schema":"https://github.com/citation-style-language/schema/raw/master/csl-citation.json"}</w:instrText>
      </w:r>
      <w:r w:rsidR="00AC7642" w:rsidRPr="00444608">
        <w:rPr>
          <w:color w:val="000000" w:themeColor="text1"/>
        </w:rPr>
        <w:fldChar w:fldCharType="separate"/>
      </w:r>
      <w:r w:rsidR="00AC7642" w:rsidRPr="00444608">
        <w:rPr>
          <w:noProof/>
          <w:color w:val="000000" w:themeColor="text1"/>
          <w:vertAlign w:val="superscript"/>
        </w:rPr>
        <w:t>13,18</w:t>
      </w:r>
      <w:r w:rsidR="00AC7642" w:rsidRPr="00444608">
        <w:rPr>
          <w:color w:val="000000" w:themeColor="text1"/>
        </w:rPr>
        <w:fldChar w:fldCharType="end"/>
      </w:r>
      <w:r w:rsidR="006D160E" w:rsidRPr="00444608">
        <w:rPr>
          <w:color w:val="000000" w:themeColor="text1"/>
        </w:rPr>
        <w:t xml:space="preserve"> and </w:t>
      </w:r>
      <w:r w:rsidR="00444608" w:rsidRPr="005532D4">
        <w:t xml:space="preserve">with atomistic MD simulations of amino acid side chain </w:t>
      </w:r>
      <w:r w:rsidR="00444608" w:rsidRPr="00561565">
        <w:rPr>
          <w:noProof/>
        </w:rPr>
        <w:t>analogues</w:t>
      </w:r>
      <w:r w:rsidR="00444608" w:rsidRPr="005532D4">
        <w:t>.</w:t>
      </w:r>
      <w:r w:rsidR="00AC7642" w:rsidRPr="00444608">
        <w:rPr>
          <w:color w:val="000000" w:themeColor="text1"/>
        </w:rPr>
        <w:fldChar w:fldCharType="begin" w:fldLock="1"/>
      </w:r>
      <w:r w:rsidR="00773999">
        <w:rPr>
          <w:color w:val="000000" w:themeColor="text1"/>
        </w:rPr>
        <w:instrText>ADDIN CSL_CITATION {"citationItems":[{"id":"ITEM-1","itemData":{"DOI":"10.1021/jp107859q","ISBN":"1932-7447","ISSN":"19327447","abstract":"The potential of mean constraint force approach, in partnership with atomistic molecular dynamics simulations, is used to calculate the change in free energy upon adsorption of amino acid side chain analogues at the aqueous rutile titania (110) interface. Our results indicate that both positively charged and negatively charged moieties have favorable free energy of binding to the titania surface. Stable contact, mediated via the first two solvent layers at the interface, is also indicated for the charged adsorbates. Hydrophobic adsorbates showed no appreciable binding to the titania surface. In contrast, the binding for our serine analogue (methanol) features a slight possibility to bind via hydrogen bonding to the titania surface. Our calculated results indicate very good agreement with available experimental data. In partnership with other information regarding peptide conformation and intrapeptide interactions, our findings should be helpful in building design principles for peptide sequences with predictable and controllable binding to titania.","author":[{"dropping-particle":"","family":"Monti","given":"S.","non-dropping-particle":"","parse-names":false,"suffix":""},{"dropping-particle":"","family":"Walsh","given":"T. R.","non-dropping-particle":"","parse-names":false,"suffix":""}],"container-title":"Journal of Physical Chemistry C","id":"ITEM-1","issued":{"date-parts":[["2010"]]},"title":"Free energy calculations of the adsorption of amino acid analogues at the aqueous titania interface","type":"article-journal"},"uris":["http://www.mendeley.com/documents/?uuid=57094c7e-9aea-47dd-b593-f06a1e940547"]},{"id":"ITEM-2","itemData":{"DOI":"10.1021/la503312d","ISBN":"0743-7463, 1520-5827","ISSN":"15205827","PMID":"25317483","abstract":"Despite the extensive utilization of biomolecule-titania interfaces, biomolecular recognition and interactions at the aqueous titania interface remain far from being fully understood. Here, atomistic molecular dynamics simulations, in partnership with metadynamics, are used to calculate the free energy of adsorption of different amino acid side chain analogues at the negatively-charged aqueous rutile TiO2 (110) interface, under conditions corresponding with neutral pH. Our calculations predict that charged amino acid analogues have a relatively high affinity to the titania surface, with the arginine analogue predicted to be the strongest binder. Interactions between uncharged amino acid analogues and titania are found to be repulsive or weak at best. All of the residues that bound to the negatively-charged interface show a relatively stronger adsorption compared with the charge-neutral interface, including the negatively-charged analogue. Of the analogues that are found to bind to the titania surface, the rank ordering of the binding affinities is predicted to be \"arginine\" &gt; \"lysine\" ≈ aspartic acid &gt; \"serine\". This is the same ordering as was found previously for the charge-neutral aqueous titania interface. Our results show very good agreement with available experimental data and can provide a baseline for the interpretation of peptide-TiO2 adsorption data.","author":[{"dropping-particle":"","family":"Sultan","given":"Anas M.","non-dropping-particle":"","parse-names":false,"suffix":""},{"dropping-particle":"","family":"Hughes","given":"Zak E.","non-dropping-particle":"","parse-names":false,"suffix":""},{"dropping-particle":"","family":"Walsh","given":"Tiffany R.","non-dropping-particle":"","parse-names":false,"suffix":""}],"container-title":"Langmuir","id":"ITEM-2","issued":{"date-parts":[["2014"]]},"title":"Binding affinities of amino acid analogues at the charged aqueous titania interface: Implications for titania-binding peptides","type":"article-journal"},"uris":["http://www.mendeley.com/documents/?uuid=bd4a19db-1571-4895-8b61-04adc22348f3"]}],"mendeley":{"formattedCitation":"&lt;sup&gt;27,28&lt;/sup&gt;","plainTextFormattedCitation":"27,28","previouslyFormattedCitation":"&lt;sup&gt;27,28&lt;/sup&gt;"},"properties":{"noteIndex":0},"schema":"https://github.com/citation-style-language/schema/raw/master/csl-citation.json"}</w:instrText>
      </w:r>
      <w:r w:rsidR="00AC7642" w:rsidRPr="00444608">
        <w:rPr>
          <w:color w:val="000000" w:themeColor="text1"/>
        </w:rPr>
        <w:fldChar w:fldCharType="separate"/>
      </w:r>
      <w:r w:rsidR="00773999" w:rsidRPr="00773999">
        <w:rPr>
          <w:noProof/>
          <w:color w:val="000000" w:themeColor="text1"/>
          <w:vertAlign w:val="superscript"/>
        </w:rPr>
        <w:t>27,28</w:t>
      </w:r>
      <w:r w:rsidR="00AC7642" w:rsidRPr="00444608">
        <w:rPr>
          <w:color w:val="000000" w:themeColor="text1"/>
        </w:rPr>
        <w:fldChar w:fldCharType="end"/>
      </w:r>
      <w:r w:rsidR="006D160E" w:rsidRPr="00444608">
        <w:rPr>
          <w:color w:val="000000" w:themeColor="text1"/>
        </w:rPr>
        <w:t xml:space="preserve"> Within the charged group, the basic residues (</w:t>
      </w:r>
      <w:proofErr w:type="spellStart"/>
      <w:r w:rsidR="006D160E" w:rsidRPr="00444608">
        <w:rPr>
          <w:color w:val="000000" w:themeColor="text1"/>
        </w:rPr>
        <w:t>Arg</w:t>
      </w:r>
      <w:proofErr w:type="spellEnd"/>
      <w:r w:rsidR="006D160E" w:rsidRPr="00444608">
        <w:rPr>
          <w:color w:val="000000" w:themeColor="text1"/>
        </w:rPr>
        <w:t xml:space="preserve"> and Lys) are favored over the acidic residues (</w:t>
      </w:r>
      <w:proofErr w:type="spellStart"/>
      <w:r w:rsidR="006D160E" w:rsidRPr="00444608">
        <w:rPr>
          <w:color w:val="000000" w:themeColor="text1"/>
        </w:rPr>
        <w:t>Glu</w:t>
      </w:r>
      <w:proofErr w:type="spellEnd"/>
      <w:r w:rsidR="006D160E" w:rsidRPr="00444608">
        <w:rPr>
          <w:color w:val="000000" w:themeColor="text1"/>
        </w:rPr>
        <w:t xml:space="preserve"> and Asp) when adsorbing onto the TiO</w:t>
      </w:r>
      <w:r w:rsidR="006D160E" w:rsidRPr="00444608">
        <w:rPr>
          <w:color w:val="000000" w:themeColor="text1"/>
          <w:vertAlign w:val="subscript"/>
        </w:rPr>
        <w:t>2</w:t>
      </w:r>
      <w:r w:rsidR="006D160E" w:rsidRPr="00444608">
        <w:rPr>
          <w:color w:val="000000" w:themeColor="text1"/>
        </w:rPr>
        <w:t xml:space="preserve"> NPs due to the dominant number of oxygen atoms at the TiO</w:t>
      </w:r>
      <w:r w:rsidR="006D160E" w:rsidRPr="00444608">
        <w:rPr>
          <w:color w:val="000000" w:themeColor="text1"/>
          <w:vertAlign w:val="subscript"/>
        </w:rPr>
        <w:t>2</w:t>
      </w:r>
      <w:r w:rsidR="006D160E" w:rsidRPr="00444608">
        <w:rPr>
          <w:color w:val="000000" w:themeColor="text1"/>
        </w:rPr>
        <w:t xml:space="preserve"> </w:t>
      </w:r>
      <w:r w:rsidR="00EE4DD5" w:rsidRPr="00444608">
        <w:rPr>
          <w:color w:val="000000" w:themeColor="text1"/>
        </w:rPr>
        <w:t>surface.</w:t>
      </w:r>
      <w:r w:rsidR="00AC7642" w:rsidRPr="00444608">
        <w:rPr>
          <w:color w:val="000000" w:themeColor="text1"/>
        </w:rPr>
        <w:fldChar w:fldCharType="begin" w:fldLock="1"/>
      </w:r>
      <w:r w:rsidR="00773999">
        <w:rPr>
          <w:color w:val="000000" w:themeColor="text1"/>
        </w:rPr>
        <w:instrText>ADDIN CSL_CITATION {"citationItems":[{"id":"ITEM-1","itemData":{"DOI":"10.1038/srep37761","ISSN":"2045-2322","PMID":"27883086","author":[{"dropping-particle":"","family":"Liu","given":"Shengtang","non-dropping-particle":"","parse-names":false,"suffix":""},{"dropping-particle":"","family":"Meng","given":"Xuan-Yu","non-dropping-particle":"","parse-names":false,"suffix":""},{"dropping-particle":"","family":"Perez-Aguilar","given":"Jose Manuel","non-dropping-particle":"","parse-names":false,"suffix":""},{"dropping-particle":"","family":"Zhou","given":"Ruhong","non-dropping-particle":"","parse-names":false,"suffix":""}],"container-title":"Scientific Reports","id":"ITEM-1","issue":"1","issued":{"date-parts":[["2016"]]},"page":"37761","publisher":"Nature Publishing Group","title":"An In Silico study of TiO2 nanoparticles interaction with twenty standard amino acids in aqueous solution","type":"article-journal","volume":"6"},"uris":["http://www.mendeley.com/documents/?uuid=760b2e8c-d6ab-4944-90f4-43570c23a3ec"]}],"mendeley":{"formattedCitation":"&lt;sup&gt;30&lt;/sup&gt;","plainTextFormattedCitation":"30","previouslyFormattedCitation":"&lt;sup&gt;30&lt;/sup&gt;"},"properties":{"noteIndex":0},"schema":"https://github.com/citation-style-language/schema/raw/master/csl-citation.json"}</w:instrText>
      </w:r>
      <w:r w:rsidR="00AC7642" w:rsidRPr="00444608">
        <w:rPr>
          <w:color w:val="000000" w:themeColor="text1"/>
        </w:rPr>
        <w:fldChar w:fldCharType="separate"/>
      </w:r>
      <w:r w:rsidR="00AC7642" w:rsidRPr="00444608">
        <w:rPr>
          <w:noProof/>
          <w:color w:val="000000" w:themeColor="text1"/>
          <w:vertAlign w:val="superscript"/>
        </w:rPr>
        <w:t>30</w:t>
      </w:r>
      <w:r w:rsidR="00AC7642" w:rsidRPr="00444608">
        <w:rPr>
          <w:color w:val="000000" w:themeColor="text1"/>
        </w:rPr>
        <w:fldChar w:fldCharType="end"/>
      </w:r>
    </w:p>
    <w:p w:rsidR="00DE089D" w:rsidRPr="00F36B34" w:rsidRDefault="00DE089D" w:rsidP="00F36B34">
      <w:pPr>
        <w:pStyle w:val="TAMainText"/>
      </w:pPr>
      <w:r w:rsidRPr="00F36B34">
        <w:t>Majority of reports describe amino acid interactions with titanium dioxide surface in a qualitative manner. That is related to the prevalence of spectroscopic and computer-based methods in the adsorption studies. Only two papers provide substantial data on</w:t>
      </w:r>
      <w:r w:rsidR="00927312">
        <w:t xml:space="preserve"> thermodynamics, although </w:t>
      </w:r>
      <w:r w:rsidR="00927312" w:rsidRPr="00F20185">
        <w:t xml:space="preserve">it </w:t>
      </w:r>
      <w:r w:rsidR="00927312" w:rsidRPr="00561565">
        <w:rPr>
          <w:noProof/>
        </w:rPr>
        <w:t>were</w:t>
      </w:r>
      <w:r w:rsidRPr="00F20185">
        <w:t xml:space="preserve"> obtained</w:t>
      </w:r>
      <w:r w:rsidRPr="00F36B34">
        <w:t xml:space="preserve"> for different sorbates at surfaces with different crystallinity, which makes c</w:t>
      </w:r>
      <w:r w:rsidR="00F36B34">
        <w:t>omparative analysis impossible.</w:t>
      </w:r>
      <w:r w:rsidR="00F903B1">
        <w:fldChar w:fldCharType="begin" w:fldLock="1"/>
      </w:r>
      <w:r w:rsidR="00773999">
        <w:instrText>ADDIN CSL_CITATION {"citationItems":[{"id":"ITEM-1","itemData":{"DOI":"10.1246/bcsj.54.1595","author":[{"dropping-particle":"","family":"Okazaki S., Aoki T.","given":"Tani K.","non-dropping-particle":"","parse-names":false,"suffix":""}],"container-title":"Bull. Chem. Soc. Jpn.","id":"ITEM-1","issued":{"date-parts":[["1981"]]},"page":"1595-1599","title":"The Adsorption of Basic α-Amino Acids in an Aqueous Solution by Titanium(IV) Oxide","type":"article-journal","volume":"54"},"uris":["http://www.mendeley.com/documents/?uuid=e7c7e539-ec72-44b3-ba50-89c8e10f4081"]},{"id":"ITEM-2","itemData":{"DOI":"10.1021/la500722n","ISBN":"0743-7463","ISSN":"15205827","PMID":"24978817","abstract":"Nanoparticles in biological media form dynamic entities as a result of competitive adsorption of proteins on nanoparticle surfaces called protein coronas. The protein affinity toward nanoparticle surfaces potentially depends on the constituent amino acid side chains which are on the protein exterior and thus exposed to the solution and available for interaction. Therefore, studying the adsorption of individual amino acids on nanoparticle surfaces can provide valuable insights into the overall evolution of nanoparticles in solution and the protein corona that forms. In the current study, the surface adsorption of l-histidine on TiO2 nanoparticles with a diameter of 5 nm at pH 7.4 (physiological pH) is studied from both macroscopic and molecular perspectives. Quantitative adsorption measurements of l-histidine on 5 nm TiO2 particles yield maximum adsorption coverage of 6.2 ± 0.3 × 10(13) molecules cm(-2) at 293 K and pH 7.4. These quantitative adsorption measurements also yield values for the equilibrium constant and free energy of adsorption of K = 4.3 ± 0.5 × 10(2) L mol(-1) and ΔG = -14.8 ± 0.3 kJ mol(-1), respectively. Detailed analysis of the adsorption between histidine and 5 nm TiO2 nanoparticle surfaces with attenuated total reflectance Fourier transform infrared (ATR-FTIR) spectroscopy indicates both the imidazole side chain and the amine group interacting with the nanoparticle surface and the adsorption to be reversible. The adsorption results in no change in surface charge and therefore does not change nanoparticle-nanoparticle interactions and thus aggregation behavior of these 5 nm TiO2 nanoparticles in aqueous solution.","author":[{"dropping-particle":"","family":"Mudunkotuwa","given":"Imali A.","non-dropping-particle":"","parse-names":false,"suffix":""},{"dropping-particle":"","family":"Grassian","given":"Vicki H.","non-dropping-particle":"","parse-names":false,"suffix":""}],"container-title":"Langmuir","id":"ITEM-2","issued":{"date-parts":[["2014"]]},"title":"Histidine adsorption on TiO2 nanoparticles: An integrated spectroscopic, thermodynamic, and molecular-based approach toward understanding nano-bio interactions","type":"article-journal"},"uris":["http://www.mendeley.com/documents/?uuid=97c7fb96-3919-4f72-8719-2ef67a6afae4"]}],"mendeley":{"formattedCitation":"&lt;sup&gt;15,16&lt;/sup&gt;","plainTextFormattedCitation":"15,16","previouslyFormattedCitation":"&lt;sup&gt;15,16&lt;/sup&gt;"},"properties":{"noteIndex":0},"schema":"https://github.com/citation-style-language/schema/raw/master/csl-citation.json"}</w:instrText>
      </w:r>
      <w:r w:rsidR="00F903B1">
        <w:fldChar w:fldCharType="separate"/>
      </w:r>
      <w:r w:rsidR="00F903B1" w:rsidRPr="00F903B1">
        <w:rPr>
          <w:noProof/>
          <w:vertAlign w:val="superscript"/>
        </w:rPr>
        <w:t>15,16</w:t>
      </w:r>
      <w:r w:rsidR="00F903B1">
        <w:fldChar w:fldCharType="end"/>
      </w:r>
      <w:r w:rsidRPr="00F36B34">
        <w:t xml:space="preserve"> </w:t>
      </w:r>
      <w:proofErr w:type="gramStart"/>
      <w:r w:rsidRPr="00F36B34">
        <w:t>Despite</w:t>
      </w:r>
      <w:proofErr w:type="gramEnd"/>
      <w:r w:rsidRPr="00F36B34">
        <w:t xml:space="preserve"> the extensive utilization of the biomolecule-TiO</w:t>
      </w:r>
      <w:r w:rsidRPr="00F36B34">
        <w:rPr>
          <w:vertAlign w:val="subscript"/>
        </w:rPr>
        <w:t>2</w:t>
      </w:r>
      <w:r w:rsidRPr="00F36B34">
        <w:t xml:space="preserve"> interfaces, interactions at the aqueous titanium dioxide interface remain far from being fully understood. Without such an understanding, it will be challenging to design, predict, and/or optimize peptide adsorption and the concomitant properties of the resulting biointerface, amenable to utilization. Here we present the bulk adsorption study of major (19) </w:t>
      </w:r>
      <w:r w:rsidRPr="00F36B34">
        <w:rPr>
          <w:i/>
        </w:rPr>
        <w:t>L</w:t>
      </w:r>
      <w:r w:rsidRPr="00F36B34">
        <w:t>-amino acids on nanocrystalline anatase at uniform conditions mimicking biological medium. Discovered adsorption features are interpreted in terms of molecular descriptors, and binding geometries are disclosed by theoretical modeling of TiO</w:t>
      </w:r>
      <w:r w:rsidRPr="00F36B34">
        <w:rPr>
          <w:vertAlign w:val="subscript"/>
        </w:rPr>
        <w:t>2</w:t>
      </w:r>
      <w:r w:rsidRPr="00F36B34">
        <w:t>-amino acid complexes.</w:t>
      </w:r>
    </w:p>
    <w:p w:rsidR="00DE089D" w:rsidRDefault="00DE089D" w:rsidP="00F36B34">
      <w:pPr>
        <w:pStyle w:val="TAMainText"/>
      </w:pPr>
    </w:p>
    <w:p w:rsidR="005532D4" w:rsidRPr="00F36B34" w:rsidRDefault="005532D4" w:rsidP="00F36B34">
      <w:pPr>
        <w:pStyle w:val="TAMainText"/>
      </w:pPr>
    </w:p>
    <w:p w:rsidR="00DE089D" w:rsidRPr="00F36B34" w:rsidRDefault="00DE089D" w:rsidP="00F36B34">
      <w:pPr>
        <w:pStyle w:val="TAMainText"/>
      </w:pPr>
      <w:r w:rsidRPr="00F36B34">
        <w:lastRenderedPageBreak/>
        <w:t>EXPERIMENTAL SECTION</w:t>
      </w:r>
    </w:p>
    <w:p w:rsidR="00DE089D" w:rsidRPr="00F36B34" w:rsidRDefault="00DE089D" w:rsidP="00F36B34">
      <w:pPr>
        <w:pStyle w:val="TAMainText"/>
      </w:pPr>
    </w:p>
    <w:p w:rsidR="00DE089D" w:rsidRPr="00F36B34" w:rsidRDefault="00DE089D" w:rsidP="002E4A3B">
      <w:pPr>
        <w:pStyle w:val="TAMainText"/>
      </w:pPr>
      <w:proofErr w:type="gramStart"/>
      <w:r w:rsidRPr="002E4A3B">
        <w:rPr>
          <w:b/>
        </w:rPr>
        <w:t>Materials.</w:t>
      </w:r>
      <w:proofErr w:type="gramEnd"/>
      <w:r w:rsidRPr="00F36B34">
        <w:t xml:space="preserve"> Titanium (IV) isopropoxide (TIP, &gt;98%), </w:t>
      </w:r>
      <w:r w:rsidRPr="002E4A3B">
        <w:rPr>
          <w:i/>
        </w:rPr>
        <w:t>L</w:t>
      </w:r>
      <w:r w:rsidRPr="00F36B34">
        <w:t xml:space="preserve">-amino acids (АА, 99%) (Ala, Val, </w:t>
      </w:r>
      <w:proofErr w:type="spellStart"/>
      <w:r w:rsidRPr="00F36B34">
        <w:t>Leu</w:t>
      </w:r>
      <w:proofErr w:type="spellEnd"/>
      <w:r w:rsidRPr="00F36B34">
        <w:t xml:space="preserve">, Ile, His, </w:t>
      </w:r>
      <w:proofErr w:type="spellStart"/>
      <w:r w:rsidRPr="00F36B34">
        <w:t>Phe</w:t>
      </w:r>
      <w:proofErr w:type="spellEnd"/>
      <w:r w:rsidRPr="00F36B34">
        <w:t xml:space="preserve">, </w:t>
      </w:r>
      <w:proofErr w:type="spellStart"/>
      <w:r w:rsidRPr="00F36B34">
        <w:t>Trp</w:t>
      </w:r>
      <w:proofErr w:type="spellEnd"/>
      <w:r w:rsidRPr="00F36B34">
        <w:t xml:space="preserve">, </w:t>
      </w:r>
      <w:proofErr w:type="spellStart"/>
      <w:r w:rsidRPr="00F36B34">
        <w:t>Gly</w:t>
      </w:r>
      <w:proofErr w:type="spellEnd"/>
      <w:r w:rsidRPr="00F36B34">
        <w:t xml:space="preserve">, Pro, Met, </w:t>
      </w:r>
      <w:proofErr w:type="spellStart"/>
      <w:r w:rsidRPr="00F36B34">
        <w:t>Asn</w:t>
      </w:r>
      <w:proofErr w:type="spellEnd"/>
      <w:r w:rsidRPr="00F36B34">
        <w:t xml:space="preserve">, </w:t>
      </w:r>
      <w:proofErr w:type="spellStart"/>
      <w:r w:rsidRPr="00F36B34">
        <w:t>Gln</w:t>
      </w:r>
      <w:proofErr w:type="spellEnd"/>
      <w:r w:rsidRPr="00F36B34">
        <w:t xml:space="preserve">, </w:t>
      </w:r>
      <w:proofErr w:type="spellStart"/>
      <w:r w:rsidRPr="00F36B34">
        <w:t>Ser</w:t>
      </w:r>
      <w:proofErr w:type="spellEnd"/>
      <w:r w:rsidRPr="00F36B34">
        <w:t xml:space="preserve">, </w:t>
      </w:r>
      <w:proofErr w:type="spellStart"/>
      <w:r w:rsidRPr="00F36B34">
        <w:t>Thr</w:t>
      </w:r>
      <w:proofErr w:type="spellEnd"/>
      <w:r w:rsidRPr="00F36B34">
        <w:t xml:space="preserve">, Lys, </w:t>
      </w:r>
      <w:proofErr w:type="spellStart"/>
      <w:r w:rsidRPr="00F36B34">
        <w:t>Arg</w:t>
      </w:r>
      <w:proofErr w:type="spellEnd"/>
      <w:r w:rsidRPr="00F36B34">
        <w:t xml:space="preserve">, Asp, </w:t>
      </w:r>
      <w:proofErr w:type="spellStart"/>
      <w:r w:rsidRPr="00F36B34">
        <w:t>Glu</w:t>
      </w:r>
      <w:proofErr w:type="spellEnd"/>
      <w:r w:rsidRPr="00F36B34">
        <w:t xml:space="preserve">, Tyr) and </w:t>
      </w:r>
      <w:proofErr w:type="spellStart"/>
      <w:r w:rsidRPr="00F36B34">
        <w:t>phenylisothioc</w:t>
      </w:r>
      <w:r w:rsidR="00B36292">
        <w:t>y</w:t>
      </w:r>
      <w:r w:rsidRPr="00F36B34">
        <w:t>anate</w:t>
      </w:r>
      <w:proofErr w:type="spellEnd"/>
      <w:r w:rsidRPr="00F36B34">
        <w:t xml:space="preserve"> (PITC, 98%) were purchased from </w:t>
      </w:r>
      <w:proofErr w:type="spellStart"/>
      <w:r w:rsidRPr="00F36B34">
        <w:t>Acros</w:t>
      </w:r>
      <w:proofErr w:type="spellEnd"/>
      <w:r w:rsidRPr="00F36B34">
        <w:t xml:space="preserve"> Organics. </w:t>
      </w:r>
      <w:proofErr w:type="spellStart"/>
      <w:r w:rsidRPr="00F36B34">
        <w:t>Trifluoroacetic</w:t>
      </w:r>
      <w:proofErr w:type="spellEnd"/>
      <w:r w:rsidRPr="00F36B34">
        <w:t xml:space="preserve"> acid (TFA, 99%) and acetonitrile (HPLC grade) were received from </w:t>
      </w:r>
      <w:proofErr w:type="spellStart"/>
      <w:r w:rsidRPr="00F36B34">
        <w:t>Panreac</w:t>
      </w:r>
      <w:proofErr w:type="spellEnd"/>
      <w:r w:rsidRPr="00F36B34">
        <w:t xml:space="preserve"> AppliChem and were used without purification. 2-(</w:t>
      </w:r>
      <w:r w:rsidRPr="004F74EC">
        <w:rPr>
          <w:i/>
        </w:rPr>
        <w:t>N</w:t>
      </w:r>
      <w:r w:rsidRPr="00F36B34">
        <w:t>-morpholino</w:t>
      </w:r>
      <w:proofErr w:type="gramStart"/>
      <w:r w:rsidRPr="00F36B34">
        <w:t>)ethanesulfonic</w:t>
      </w:r>
      <w:proofErr w:type="gramEnd"/>
      <w:r w:rsidRPr="00F36B34">
        <w:t xml:space="preserve"> acid (MES, &gt;98%) was purchased from TCI Chemicals and was used as received. Isopropanol (99.7%) and triethylamine (TEA) (99%) were obtained from Sigma-Aldrich (Merck) and used without purification. Double-distilled wa</w:t>
      </w:r>
      <w:r w:rsidR="002E4A3B">
        <w:t>ter (DDW) was obtained on spot.</w:t>
      </w:r>
    </w:p>
    <w:p w:rsidR="00DE089D" w:rsidRPr="00F36B34" w:rsidRDefault="00DE089D" w:rsidP="00F36B34">
      <w:pPr>
        <w:pStyle w:val="TAMainText"/>
      </w:pPr>
      <w:proofErr w:type="gramStart"/>
      <w:r w:rsidRPr="002E4A3B">
        <w:rPr>
          <w:b/>
        </w:rPr>
        <w:t>Nanocrystalline titanium (IV) oxide.</w:t>
      </w:r>
      <w:proofErr w:type="gramEnd"/>
      <w:r w:rsidRPr="00F36B34">
        <w:t xml:space="preserve"> Nanocrystalline titanium dioxide (TiO</w:t>
      </w:r>
      <w:r w:rsidRPr="002E4A3B">
        <w:rPr>
          <w:vertAlign w:val="subscript"/>
        </w:rPr>
        <w:t>2</w:t>
      </w:r>
      <w:r w:rsidRPr="00F36B34">
        <w:t>) particles were prepared via sol-gel method, using Titanium (IV)</w:t>
      </w:r>
      <w:r w:rsidR="004D10E1">
        <w:t xml:space="preserve"> isopropoxide</w:t>
      </w:r>
      <w:r w:rsidRPr="00F36B34">
        <w:t xml:space="preserve"> as the precursor. The preparation was accomplished in isopropanol with water as the hydrolyzing agent. Water addition was followed by heating under a reflux condenser for 60</w:t>
      </w:r>
      <w:r w:rsidR="004862ED">
        <w:t> </w:t>
      </w:r>
      <w:r w:rsidRPr="00F36B34">
        <w:t>h. The obtained particles of TiO</w:t>
      </w:r>
      <w:r w:rsidRPr="002E4A3B">
        <w:rPr>
          <w:vertAlign w:val="subscript"/>
        </w:rPr>
        <w:t>2</w:t>
      </w:r>
      <w:r w:rsidRPr="00F36B34">
        <w:t xml:space="preserve"> were washed with distilled water 3 times and centrifuged after each wash, dried and calcined by heating up to 400</w:t>
      </w:r>
      <w:r w:rsidR="002E4A3B">
        <w:t> </w:t>
      </w:r>
      <w:r w:rsidRPr="00F36B34">
        <w:t>°C, with</w:t>
      </w:r>
      <w:r w:rsidR="00DC0764">
        <w:t xml:space="preserve"> the</w:t>
      </w:r>
      <w:r w:rsidRPr="00F36B34">
        <w:t xml:space="preserve"> heating rate of 6.25</w:t>
      </w:r>
      <w:r w:rsidR="0031338A">
        <w:t> </w:t>
      </w:r>
      <w:r w:rsidRPr="00F36B34">
        <w:t>°С/min.</w:t>
      </w:r>
    </w:p>
    <w:p w:rsidR="00DE089D" w:rsidRPr="00F36B34" w:rsidRDefault="00DE089D" w:rsidP="00F36B34">
      <w:pPr>
        <w:pStyle w:val="TAMainText"/>
      </w:pPr>
      <w:r w:rsidRPr="00F36B34">
        <w:t>Transmission electron microscopy (TEM) analysis was carried out by a</w:t>
      </w:r>
      <w:r w:rsidR="00517BEF">
        <w:t xml:space="preserve"> JEOL</w:t>
      </w:r>
      <w:r w:rsidRPr="00F36B34">
        <w:t xml:space="preserve"> JEM-2100 instrument operating at a</w:t>
      </w:r>
      <w:r w:rsidR="00DC0764">
        <w:t>n</w:t>
      </w:r>
      <w:r w:rsidRPr="00F36B34">
        <w:t xml:space="preserve"> accelerating voltage of 200</w:t>
      </w:r>
      <w:r w:rsidR="0031338A">
        <w:t> </w:t>
      </w:r>
      <w:r w:rsidRPr="00F36B34">
        <w:t>kV</w:t>
      </w:r>
      <w:r w:rsidR="00A054E3">
        <w:t xml:space="preserve">, </w:t>
      </w:r>
      <w:r w:rsidR="00A054E3" w:rsidRPr="00A054E3">
        <w:t>equipped with a field emission gun (FEG) and an</w:t>
      </w:r>
      <w:r w:rsidR="00D939C8">
        <w:t xml:space="preserve"> </w:t>
      </w:r>
      <w:r w:rsidR="00A054E3" w:rsidRPr="00A054E3">
        <w:t xml:space="preserve">ultra-high resolution pole-piece that provided a point-resolution better than 0.19 nm. The samples for TEM were dispersed in ethanol, sonicated and sprayed on a holey carbon film coated copper grid and then allowed to air-dry; finally, </w:t>
      </w:r>
      <w:proofErr w:type="spellStart"/>
      <w:r w:rsidR="00A054E3" w:rsidRPr="00A054E3">
        <w:t>Gatan</w:t>
      </w:r>
      <w:proofErr w:type="spellEnd"/>
      <w:r w:rsidR="00A054E3" w:rsidRPr="00A054E3">
        <w:t xml:space="preserve"> SOLARUS 950</w:t>
      </w:r>
      <w:r w:rsidR="00B05F06">
        <w:t xml:space="preserve"> </w:t>
      </w:r>
      <w:r w:rsidR="00A054E3" w:rsidRPr="00A054E3">
        <w:t>was used before carrying out observations with the microscope. The crystal size distribution from the TEM observation was plotted considering the data obtained for 150 particles</w:t>
      </w:r>
      <w:r w:rsidRPr="00F36B34">
        <w:t xml:space="preserve">. The crystalline phase of </w:t>
      </w:r>
      <w:r w:rsidRPr="00F36B34">
        <w:lastRenderedPageBreak/>
        <w:t>TiO</w:t>
      </w:r>
      <w:r w:rsidRPr="002E4A3B">
        <w:rPr>
          <w:vertAlign w:val="subscript"/>
        </w:rPr>
        <w:t>2</w:t>
      </w:r>
      <w:r w:rsidRPr="00F36B34">
        <w:t xml:space="preserve"> nanoparticles was characterized by powder X-ray diffraction (PXRD) using RIGAKU ULTIMA IV device operating on Cu </w:t>
      </w:r>
      <w:r w:rsidRPr="00F20185">
        <w:t>Kα radiation</w:t>
      </w:r>
      <w:r w:rsidR="00855717" w:rsidRPr="00F20185">
        <w:t xml:space="preserve"> at</w:t>
      </w:r>
      <w:r w:rsidR="007114B0" w:rsidRPr="00F20185">
        <w:t xml:space="preserve"> </w:t>
      </w:r>
      <w:r w:rsidR="00855717" w:rsidRPr="00F20185">
        <w:t>λ = 0.154</w:t>
      </w:r>
      <w:r w:rsidR="0031338A" w:rsidRPr="00F20185">
        <w:t> </w:t>
      </w:r>
      <w:r w:rsidR="00ED6313" w:rsidRPr="00F20185">
        <w:t xml:space="preserve">nm </w:t>
      </w:r>
      <w:r w:rsidR="00855717" w:rsidRPr="00F20185">
        <w:t>which corresponds</w:t>
      </w:r>
      <w:r w:rsidR="00CD40A6" w:rsidRPr="00F20185">
        <w:t xml:space="preserve"> to</w:t>
      </w:r>
      <w:r w:rsidR="00855717" w:rsidRPr="00F20185">
        <w:t xml:space="preserve"> 8.04</w:t>
      </w:r>
      <w:r w:rsidR="0031338A" w:rsidRPr="00F20185">
        <w:t> </w:t>
      </w:r>
      <w:proofErr w:type="spellStart"/>
      <w:r w:rsidR="00855717" w:rsidRPr="00F20185">
        <w:t>keV</w:t>
      </w:r>
      <w:proofErr w:type="spellEnd"/>
      <w:r w:rsidRPr="00F20185">
        <w:t>.</w:t>
      </w:r>
      <w:r w:rsidRPr="00F36B34">
        <w:t xml:space="preserve"> The amount of amorphous phase in the titanium dioxide sample was determined by the internal standard method. The PXRD data, collected from the samples mixed with 20</w:t>
      </w:r>
      <w:r w:rsidR="0031338A">
        <w:t> </w:t>
      </w:r>
      <w:proofErr w:type="spellStart"/>
      <w:r w:rsidRPr="00F36B34">
        <w:t>wt</w:t>
      </w:r>
      <w:proofErr w:type="spellEnd"/>
      <w:r w:rsidRPr="00F36B34">
        <w:t>% of CaF</w:t>
      </w:r>
      <w:r w:rsidRPr="002E4A3B">
        <w:rPr>
          <w:vertAlign w:val="subscript"/>
        </w:rPr>
        <w:t>2</w:t>
      </w:r>
      <w:r w:rsidRPr="00F36B34">
        <w:t>, were refined using MAUD software.</w:t>
      </w:r>
    </w:p>
    <w:p w:rsidR="00DE089D" w:rsidRPr="00F36B34" w:rsidRDefault="00DE089D" w:rsidP="002E4A3B">
      <w:pPr>
        <w:pStyle w:val="TAMainText"/>
      </w:pPr>
      <w:r w:rsidRPr="00F36B34">
        <w:t xml:space="preserve">Fourier-transform infrared spectrum (FTIR) was recorded on a Shimadzu IRAffinity-1S FTIR spectrometer. The specific surface area of the titanium dioxide particles was determined by the </w:t>
      </w:r>
      <w:proofErr w:type="spellStart"/>
      <w:r w:rsidRPr="00F36B34">
        <w:t>Brunauer</w:t>
      </w:r>
      <w:proofErr w:type="spellEnd"/>
      <w:r w:rsidRPr="00F36B34">
        <w:t>-Emmett-Teller (BET) method using nitrogen adsorption at 77</w:t>
      </w:r>
      <w:r w:rsidR="00ED6313">
        <w:t> </w:t>
      </w:r>
      <w:r w:rsidRPr="00F36B34">
        <w:t xml:space="preserve">K. The size and the volume of </w:t>
      </w:r>
      <w:proofErr w:type="spellStart"/>
      <w:r w:rsidRPr="00F36B34">
        <w:t>mesopores</w:t>
      </w:r>
      <w:proofErr w:type="spellEnd"/>
      <w:r w:rsidRPr="00F36B34">
        <w:t xml:space="preserve"> wer</w:t>
      </w:r>
      <w:r w:rsidR="002E4A3B">
        <w:t>e determined by the BJH method.</w:t>
      </w:r>
    </w:p>
    <w:p w:rsidR="00DE089D" w:rsidRPr="00F36B34" w:rsidRDefault="00DE089D" w:rsidP="002E4A3B">
      <w:pPr>
        <w:pStyle w:val="TAMainText"/>
      </w:pPr>
      <w:proofErr w:type="gramStart"/>
      <w:r w:rsidRPr="002E4A3B">
        <w:rPr>
          <w:b/>
        </w:rPr>
        <w:t>Stock solutions and buffer.</w:t>
      </w:r>
      <w:proofErr w:type="gramEnd"/>
      <w:r w:rsidRPr="00F36B34">
        <w:t xml:space="preserve"> Ten stock solutions of each amino acid with concentrations between 0.4÷16.0</w:t>
      </w:r>
      <w:r w:rsidR="0031338A">
        <w:t> </w:t>
      </w:r>
      <w:r w:rsidRPr="00F36B34">
        <w:t>mM were prepared by dissolving dry amino acids in DDW. In case of Tyrosine (Tyr) five stock solutions were prepared with a concentration between 0.4÷2.0</w:t>
      </w:r>
      <w:r w:rsidR="0031338A">
        <w:t> </w:t>
      </w:r>
      <w:r w:rsidRPr="00F36B34">
        <w:t>mM due to limited solubility of the amino acid. All stock solutions were pH-adjusted to pH = 7.4 using 50</w:t>
      </w:r>
      <w:r w:rsidR="002E4A3B">
        <w:t> </w:t>
      </w:r>
      <w:r w:rsidRPr="00F36B34">
        <w:t>mM MES-solution or sodium hydroxide. MES buffer with a concentration of 10</w:t>
      </w:r>
      <w:r w:rsidR="0031338A">
        <w:t> </w:t>
      </w:r>
      <w:r w:rsidRPr="00F36B34">
        <w:t>mM was prepared from dry 2-(</w:t>
      </w:r>
      <w:r w:rsidRPr="00950ECD">
        <w:rPr>
          <w:i/>
        </w:rPr>
        <w:t>N-</w:t>
      </w:r>
      <w:r w:rsidRPr="00F36B34">
        <w:t>morpholino</w:t>
      </w:r>
      <w:proofErr w:type="gramStart"/>
      <w:r w:rsidRPr="00F36B34">
        <w:t>)ethanesulfonic</w:t>
      </w:r>
      <w:proofErr w:type="gramEnd"/>
      <w:r w:rsidRPr="00F36B34">
        <w:t xml:space="preserve"> acid and pH was adjusted to 7.4 with dry sodium hydroxide.</w:t>
      </w:r>
    </w:p>
    <w:p w:rsidR="00DE089D" w:rsidRPr="00F36B34" w:rsidRDefault="00DE089D" w:rsidP="002E4A3B">
      <w:pPr>
        <w:pStyle w:val="TAMainText"/>
      </w:pPr>
      <w:proofErr w:type="gramStart"/>
      <w:r w:rsidRPr="002E4A3B">
        <w:rPr>
          <w:b/>
        </w:rPr>
        <w:t>Adsorption of amino acids on TiO</w:t>
      </w:r>
      <w:r w:rsidRPr="002E4A3B">
        <w:rPr>
          <w:b/>
          <w:vertAlign w:val="subscript"/>
        </w:rPr>
        <w:t>2</w:t>
      </w:r>
      <w:r w:rsidRPr="002E4A3B">
        <w:rPr>
          <w:b/>
        </w:rPr>
        <w:t>.</w:t>
      </w:r>
      <w:proofErr w:type="gramEnd"/>
      <w:r w:rsidRPr="00F36B34">
        <w:t xml:space="preserve"> Dispersions of TiO</w:t>
      </w:r>
      <w:r w:rsidRPr="002E4A3B">
        <w:rPr>
          <w:vertAlign w:val="subscript"/>
        </w:rPr>
        <w:t>2</w:t>
      </w:r>
      <w:r w:rsidRPr="00F36B34">
        <w:t xml:space="preserve"> nanoparticles (2</w:t>
      </w:r>
      <w:r w:rsidR="0031338A">
        <w:t> </w:t>
      </w:r>
      <w:r w:rsidRPr="00F36B34">
        <w:t>mg/mL, 1</w:t>
      </w:r>
      <w:r w:rsidR="0031338A">
        <w:t> </w:t>
      </w:r>
      <w:r w:rsidRPr="00F36B34">
        <w:t>mL) in double-distilled water and MES-buffer (10</w:t>
      </w:r>
      <w:r w:rsidR="0031338A">
        <w:t> </w:t>
      </w:r>
      <w:r w:rsidRPr="00F36B34">
        <w:t>mM, pH</w:t>
      </w:r>
      <w:r w:rsidR="0031338A">
        <w:t> </w:t>
      </w:r>
      <w:r w:rsidRPr="00F36B34">
        <w:t xml:space="preserve">7.4) were added to a series of </w:t>
      </w:r>
      <w:r w:rsidRPr="002E4A3B">
        <w:rPr>
          <w:i/>
        </w:rPr>
        <w:t>L</w:t>
      </w:r>
      <w:r w:rsidRPr="00F36B34">
        <w:t>-amino acid solutions (1</w:t>
      </w:r>
      <w:r w:rsidR="0031338A">
        <w:t> </w:t>
      </w:r>
      <w:r w:rsidRPr="00F36B34">
        <w:t>mL). Resulting series of samples were stored in thermostat (</w:t>
      </w:r>
      <w:proofErr w:type="spellStart"/>
      <w:r w:rsidRPr="00F36B34">
        <w:t>Julabo</w:t>
      </w:r>
      <w:proofErr w:type="spellEnd"/>
      <w:r w:rsidRPr="00F36B34">
        <w:t xml:space="preserve"> F25) at 0.00, 10.00, 20.00, 30.00 and 40.00</w:t>
      </w:r>
      <w:r w:rsidR="005C3842">
        <w:t> </w:t>
      </w:r>
      <w:r w:rsidRPr="00F36B34">
        <w:t>°C for 24</w:t>
      </w:r>
      <w:r w:rsidR="005C3842">
        <w:t> </w:t>
      </w:r>
      <w:r w:rsidRPr="00F36B34">
        <w:t>h to achieve the ad</w:t>
      </w:r>
      <w:r w:rsidR="00EB1D92">
        <w:t>sorption equilibrium. Afterward</w:t>
      </w:r>
      <w:r w:rsidRPr="00F36B34">
        <w:t xml:space="preserve">, </w:t>
      </w:r>
      <w:r w:rsidR="00D939C8">
        <w:t xml:space="preserve">the </w:t>
      </w:r>
      <w:r w:rsidRPr="00F36B34">
        <w:t>samples were filtered through the syringe filter (</w:t>
      </w:r>
      <w:proofErr w:type="spellStart"/>
      <w:r w:rsidRPr="00F36B34">
        <w:t>Vladfilter</w:t>
      </w:r>
      <w:proofErr w:type="spellEnd"/>
      <w:r w:rsidRPr="00F36B34">
        <w:t>, 0.2</w:t>
      </w:r>
      <w:r w:rsidR="005C3842">
        <w:t> </w:t>
      </w:r>
      <w:r w:rsidRPr="00F36B34">
        <w:t xml:space="preserve">µm </w:t>
      </w:r>
      <w:proofErr w:type="gramStart"/>
      <w:r w:rsidRPr="00F36B34">
        <w:t>pore</w:t>
      </w:r>
      <w:proofErr w:type="gramEnd"/>
      <w:r w:rsidRPr="00F36B34">
        <w:t>) to remove any nanop</w:t>
      </w:r>
      <w:r w:rsidR="002E4A3B">
        <w:t>articles and used for analysis.</w:t>
      </w:r>
    </w:p>
    <w:p w:rsidR="00DE089D" w:rsidRPr="00F36B34" w:rsidRDefault="00DE089D" w:rsidP="00F36B34">
      <w:pPr>
        <w:pStyle w:val="TAMainText"/>
      </w:pPr>
      <w:proofErr w:type="gramStart"/>
      <w:r w:rsidRPr="002E4A3B">
        <w:rPr>
          <w:b/>
        </w:rPr>
        <w:lastRenderedPageBreak/>
        <w:t xml:space="preserve">Derivatization </w:t>
      </w:r>
      <w:r w:rsidRPr="00F20185">
        <w:rPr>
          <w:b/>
        </w:rPr>
        <w:t xml:space="preserve">and </w:t>
      </w:r>
      <w:r w:rsidR="005F413D" w:rsidRPr="00561565">
        <w:rPr>
          <w:b/>
          <w:noProof/>
        </w:rPr>
        <w:t>high performance</w:t>
      </w:r>
      <w:r w:rsidR="005F413D" w:rsidRPr="00F20185">
        <w:rPr>
          <w:b/>
        </w:rPr>
        <w:t xml:space="preserve"> liquid chromatography (</w:t>
      </w:r>
      <w:r w:rsidRPr="00F20185">
        <w:rPr>
          <w:b/>
        </w:rPr>
        <w:t>HPLC</w:t>
      </w:r>
      <w:r w:rsidR="005F413D" w:rsidRPr="00F20185">
        <w:rPr>
          <w:b/>
        </w:rPr>
        <w:t>)</w:t>
      </w:r>
      <w:r w:rsidRPr="00F20185">
        <w:rPr>
          <w:b/>
        </w:rPr>
        <w:t xml:space="preserve"> analysis</w:t>
      </w:r>
      <w:r w:rsidRPr="002E4A3B">
        <w:rPr>
          <w:b/>
        </w:rPr>
        <w:t>.</w:t>
      </w:r>
      <w:proofErr w:type="gramEnd"/>
      <w:r w:rsidRPr="00F36B34">
        <w:t xml:space="preserve"> Prior to analysis samples were deri</w:t>
      </w:r>
      <w:r w:rsidR="002E4A3B">
        <w:t>vatized with the Edman reagent.</w:t>
      </w:r>
      <w:r w:rsidR="00F903B1">
        <w:fldChar w:fldCharType="begin" w:fldLock="1"/>
      </w:r>
      <w:r w:rsidR="00773999">
        <w:instrText>ADDIN CSL_CITATION {"citationItems":[{"id":"ITEM-1","itemData":{"DOI":"10.1016/0003-2697(84)90307-5","ISBN":"0003-2697","ISSN":"10960309","PMID":"6711815","abstract":"Methods for the quantitative derivatization of amino acids with phenylisothiocyanate and for the separation and quantitation of the resulting phenylthiocarbamyl derivatives by reverse-phase high-performance liquid chromatography are described. Phenylthiocarbamylation of amino acids proceeds smoothly in 5 to 10 min at room temperature. Coupling solvents, reagent, and some byproducts are removed by rotary evaporation under high vacuum, and the phenylthiocarbamyl derivatives are dissolved in 0.05 m ammonium acetate, pH 6.8, for injection onto the octyl or octadecylsilyl reverse-phase column. Columns are equilibrated with the same solvent and the effluent stream is monitored continuously at 254 nm for detection of the amino acid derivatives. Elution of all of the phenylthiocarbamyl amino acids is achieved in about 30 min utilizing gradients of increasing concentrations of ammonium acetate and acetonitrile or methanol. This approach to amino acid analysis offers select advantages, both with respect to methods which employ reverse-phase separation of prederivatized samples and to the classical ion-exchance procedure. All amino acids, including proline, are converted quantitatively to phenylthiocarbamyl compounds and these are stable enough to eliminate any need for in-line derivatization. Furthermore, results comparable in sensitivity and precision to those obtained by state-of-the-art ion-exchange analyzers may be generated with equipment that need not be dedicated to a single application. © 1984.","author":[{"dropping-particle":"","family":"Heinrikson","given":"Robert L.","non-dropping-particle":"","parse-names":false,"suffix":""},{"dropping-particle":"","family":"Meredith","given":"Stephen C.","non-dropping-particle":"","parse-names":false,"suffix":""}],"container-title":"Analytical Biochemistry","id":"ITEM-1","issue":"1","issued":{"date-parts":[["1984"]]},"page":"65-74","title":"Amino acid analysis by reverse-phase high-performance liquid chromatography: Precolumn derivatization with phenylisothiocyanate","type":"article-journal","volume":"136"},"uris":["http://www.mendeley.com/documents/?uuid=7e0bd5af-7481-4ca1-801a-980e1aa30d22"]}],"mendeley":{"formattedCitation":"&lt;sup&gt;31&lt;/sup&gt;","plainTextFormattedCitation":"31","previouslyFormattedCitation":"&lt;sup&gt;31&lt;/sup&gt;"},"properties":{"noteIndex":0},"schema":"https://github.com/citation-style-language/schema/raw/master/csl-citation.json"}</w:instrText>
      </w:r>
      <w:r w:rsidR="00F903B1">
        <w:fldChar w:fldCharType="separate"/>
      </w:r>
      <w:r w:rsidR="00F903B1" w:rsidRPr="00F903B1">
        <w:rPr>
          <w:noProof/>
          <w:vertAlign w:val="superscript"/>
        </w:rPr>
        <w:t>31</w:t>
      </w:r>
      <w:r w:rsidR="00F903B1">
        <w:fldChar w:fldCharType="end"/>
      </w:r>
      <w:r w:rsidRPr="00F36B34">
        <w:t xml:space="preserve"> Briefly, 400</w:t>
      </w:r>
      <w:r w:rsidR="00FC6498">
        <w:t> </w:t>
      </w:r>
      <w:r w:rsidRPr="00F36B34">
        <w:t>µL of sample mixed with 400</w:t>
      </w:r>
      <w:r w:rsidR="00FC6498">
        <w:t> </w:t>
      </w:r>
      <w:r w:rsidRPr="00F36B34">
        <w:t>µL of triethylamine and phenyl isothiocyanate solution in acetonitrile (50</w:t>
      </w:r>
      <w:r w:rsidR="00FC6498">
        <w:t> </w:t>
      </w:r>
      <w:r w:rsidRPr="00F36B34">
        <w:t>mM each). The mixture was thermostated at 60</w:t>
      </w:r>
      <w:r w:rsidR="00FC6498">
        <w:t> </w:t>
      </w:r>
      <w:r w:rsidRPr="00F36B34">
        <w:t>°C for 15</w:t>
      </w:r>
      <w:r w:rsidR="00FC6498">
        <w:t> </w:t>
      </w:r>
      <w:r w:rsidRPr="00F36B34">
        <w:t>min, neutralized with of 225</w:t>
      </w:r>
      <w:r w:rsidR="00FC6498">
        <w:t> </w:t>
      </w:r>
      <w:r w:rsidRPr="00F36B34">
        <w:t>µL TFA.</w:t>
      </w:r>
    </w:p>
    <w:p w:rsidR="00DE089D" w:rsidRPr="00F36B34" w:rsidRDefault="00DE089D" w:rsidP="002E4A3B">
      <w:pPr>
        <w:pStyle w:val="TAMainText"/>
      </w:pPr>
      <w:r w:rsidRPr="00F36B34">
        <w:t>20</w:t>
      </w:r>
      <w:r w:rsidR="00FC6498">
        <w:t> </w:t>
      </w:r>
      <w:r w:rsidRPr="00F36B34">
        <w:t xml:space="preserve">µL of the resulting solution </w:t>
      </w:r>
      <w:r w:rsidRPr="00561565">
        <w:rPr>
          <w:noProof/>
        </w:rPr>
        <w:t>were</w:t>
      </w:r>
      <w:r w:rsidRPr="00F36B34">
        <w:t xml:space="preserve"> analyzed by HPLC (Shimadzu, LC-20 Prominence) equipped with UV-Vis detector (λ = 254</w:t>
      </w:r>
      <w:r w:rsidR="00FC6498">
        <w:t> </w:t>
      </w:r>
      <w:r w:rsidR="00D939C8">
        <w:t>nm). The a</w:t>
      </w:r>
      <w:r w:rsidRPr="00F36B34">
        <w:t>nalysis was done using reversed phase Zorbax column (150 × 2.5</w:t>
      </w:r>
      <w:proofErr w:type="gramStart"/>
      <w:r w:rsidR="00FC6498">
        <w:t> </w:t>
      </w:r>
      <w:r w:rsidRPr="00F36B34">
        <w:t xml:space="preserve"> mm</w:t>
      </w:r>
      <w:proofErr w:type="gramEnd"/>
      <w:r w:rsidRPr="00F36B34">
        <w:t xml:space="preserve"> </w:t>
      </w:r>
      <w:proofErr w:type="spellStart"/>
      <w:r w:rsidRPr="00F36B34">
        <w:t>i.d.</w:t>
      </w:r>
      <w:proofErr w:type="spellEnd"/>
      <w:r w:rsidRPr="00F36B34">
        <w:t xml:space="preserve"> with a mean particle size of 5</w:t>
      </w:r>
      <w:r w:rsidR="00FC6498">
        <w:t> </w:t>
      </w:r>
      <w:r w:rsidRPr="00F36B34">
        <w:t>µm). Mobile phase consisted of 0.1% TFA in deionized water and pure acetonitrile, with acetonitrile</w:t>
      </w:r>
      <w:r w:rsidR="00252966">
        <w:t xml:space="preserve"> gradient from 20% to 90% at 28</w:t>
      </w:r>
      <w:r w:rsidR="00252966" w:rsidRPr="00252966">
        <w:t>6</w:t>
      </w:r>
      <w:r w:rsidR="006E79D2">
        <w:t> </w:t>
      </w:r>
      <w:r w:rsidRPr="00F36B34">
        <w:t xml:space="preserve">nm for </w:t>
      </w:r>
      <w:proofErr w:type="spellStart"/>
      <w:r w:rsidRPr="00F36B34">
        <w:t>Glu</w:t>
      </w:r>
      <w:proofErr w:type="spellEnd"/>
      <w:r w:rsidRPr="00F36B34">
        <w:t xml:space="preserve">, Asp, </w:t>
      </w:r>
      <w:proofErr w:type="spellStart"/>
      <w:r w:rsidRPr="00F36B34">
        <w:t>Arg</w:t>
      </w:r>
      <w:proofErr w:type="spellEnd"/>
      <w:r w:rsidRPr="00F36B34">
        <w:t xml:space="preserve">, Lys, Ala, </w:t>
      </w:r>
      <w:proofErr w:type="spellStart"/>
      <w:r w:rsidRPr="00F36B34">
        <w:t>Phe</w:t>
      </w:r>
      <w:proofErr w:type="spellEnd"/>
      <w:r w:rsidRPr="00F36B34">
        <w:t xml:space="preserve">, Val, </w:t>
      </w:r>
      <w:proofErr w:type="spellStart"/>
      <w:r w:rsidRPr="00F36B34">
        <w:t>Gly</w:t>
      </w:r>
      <w:proofErr w:type="spellEnd"/>
      <w:r w:rsidRPr="00F36B34">
        <w:t xml:space="preserve">, Pro, </w:t>
      </w:r>
      <w:proofErr w:type="spellStart"/>
      <w:r w:rsidRPr="00F36B34">
        <w:t>Gln</w:t>
      </w:r>
      <w:proofErr w:type="spellEnd"/>
      <w:r w:rsidRPr="00F36B34">
        <w:t>, Met, Asp,</w:t>
      </w:r>
      <w:r w:rsidR="00252966">
        <w:t xml:space="preserve"> </w:t>
      </w:r>
      <w:proofErr w:type="spellStart"/>
      <w:r w:rsidR="00252966">
        <w:t>Ser</w:t>
      </w:r>
      <w:proofErr w:type="spellEnd"/>
      <w:r w:rsidR="00252966">
        <w:t xml:space="preserve">, </w:t>
      </w:r>
      <w:proofErr w:type="spellStart"/>
      <w:r w:rsidR="00252966">
        <w:t>Thr</w:t>
      </w:r>
      <w:proofErr w:type="spellEnd"/>
      <w:r w:rsidR="00252966">
        <w:t xml:space="preserve">, </w:t>
      </w:r>
      <w:proofErr w:type="spellStart"/>
      <w:r w:rsidR="00252966">
        <w:t>Asn</w:t>
      </w:r>
      <w:proofErr w:type="spellEnd"/>
      <w:r w:rsidR="00252966">
        <w:t xml:space="preserve">, Tyr and </w:t>
      </w:r>
      <w:proofErr w:type="spellStart"/>
      <w:r w:rsidR="00252966">
        <w:t>Trp</w:t>
      </w:r>
      <w:proofErr w:type="spellEnd"/>
      <w:r w:rsidR="00252966">
        <w:t xml:space="preserve"> (28</w:t>
      </w:r>
      <w:r w:rsidR="00252966" w:rsidRPr="00252966">
        <w:t>0</w:t>
      </w:r>
      <w:r w:rsidRPr="00F36B34">
        <w:t xml:space="preserve"> nm) in 13</w:t>
      </w:r>
      <w:r w:rsidR="00252966">
        <w:t xml:space="preserve"> min, and from 10% to 90% at 28</w:t>
      </w:r>
      <w:r w:rsidR="00252966" w:rsidRPr="00252966">
        <w:t>6</w:t>
      </w:r>
      <w:r w:rsidRPr="00F36B34">
        <w:t xml:space="preserve"> nm for His, </w:t>
      </w:r>
      <w:proofErr w:type="spellStart"/>
      <w:r w:rsidRPr="00F36B34">
        <w:t>Leu</w:t>
      </w:r>
      <w:proofErr w:type="spellEnd"/>
      <w:r w:rsidRPr="00F36B34">
        <w:t>, Ile in 30 min. Each sample was analyzed</w:t>
      </w:r>
      <w:r w:rsidR="002E4A3B">
        <w:t xml:space="preserve"> in triplicate (see Figure S1).</w:t>
      </w:r>
    </w:p>
    <w:p w:rsidR="00C96030" w:rsidRDefault="00DE089D" w:rsidP="00FC6498">
      <w:pPr>
        <w:pStyle w:val="TAMainText"/>
      </w:pPr>
      <w:proofErr w:type="gramStart"/>
      <w:r w:rsidRPr="002E4A3B">
        <w:rPr>
          <w:b/>
        </w:rPr>
        <w:t>Theoretical study of the "amino acid-titanium dioxide" complexes.</w:t>
      </w:r>
      <w:proofErr w:type="gramEnd"/>
      <w:r w:rsidRPr="00F36B34">
        <w:t xml:space="preserve"> Theoretical study of the “amino acid-titanium dioxide” complexes was carried out with</w:t>
      </w:r>
      <w:r w:rsidR="002E4A3B">
        <w:t>in the MOPS algorithm framework</w:t>
      </w:r>
      <w:r w:rsidR="00F903B1">
        <w:fldChar w:fldCharType="begin" w:fldLock="1"/>
      </w:r>
      <w:r w:rsidR="00773999">
        <w:instrText>ADDIN CSL_CITATION {"citationItems":[{"id":"ITEM-1","itemData":{"DOI":"10.1023/A:1023663115138","author":[{"dropping-particle":"","family":"M.A. Grishina","given":"","non-dropping-particle":"","parse-names":false,"suffix":""},{"dropping-particle":"V","family":"Bartashevich","given":"E","non-dropping-particle":"","parse-names":false,"suffix":""},{"dropping-particle":"","family":"Potemkin","given":"V A","non-dropping-particle":"","parse-names":false,"suffix":""},{"dropping-particle":"V","family":"Belik","given":"A","non-dropping-particle":"","parse-names":false,"suffix":""}],"container-title":"Journal of Structural Chemistry","id":"ITEM-1","issue":"6","issued":{"date-parts":[["2002"]]},"page":"1040-1044","title":"GENETIC ALGORITHM FOR PREDICTING STRUCTURES AND PROPERTIES OF MOLECULAR AGGREGATES IN ORGANIC SUBSTANCES","type":"article-journal","volume":"43"},"uris":["http://www.mendeley.com/documents/?uuid=f5fd433e-c3ca-4cfa-9075-973dec1f3f3b"]}],"mendeley":{"formattedCitation":"&lt;sup&gt;32&lt;/sup&gt;","plainTextFormattedCitation":"32","previouslyFormattedCitation":"&lt;sup&gt;32&lt;/sup&gt;"},"properties":{"noteIndex":0},"schema":"https://github.com/citation-style-language/schema/raw/master/csl-citation.json"}</w:instrText>
      </w:r>
      <w:r w:rsidR="00F903B1">
        <w:fldChar w:fldCharType="separate"/>
      </w:r>
      <w:r w:rsidR="00F903B1" w:rsidRPr="00F903B1">
        <w:rPr>
          <w:noProof/>
          <w:vertAlign w:val="superscript"/>
        </w:rPr>
        <w:t>32</w:t>
      </w:r>
      <w:r w:rsidR="00F903B1">
        <w:fldChar w:fldCharType="end"/>
      </w:r>
      <w:r w:rsidRPr="00F36B34">
        <w:t xml:space="preserve"> in the combined force field MM3/MERA with a </w:t>
      </w:r>
      <w:r w:rsidRPr="00561565">
        <w:rPr>
          <w:noProof/>
        </w:rPr>
        <w:t>continual</w:t>
      </w:r>
      <w:r w:rsidRPr="00F36B34">
        <w:t xml:space="preserve"> account of the medium influence within the </w:t>
      </w:r>
      <w:r w:rsidR="002E4A3B">
        <w:t>MERA model.</w:t>
      </w:r>
      <w:r w:rsidR="00F903B1">
        <w:fldChar w:fldCharType="begin" w:fldLock="1"/>
      </w:r>
      <w:r w:rsidR="00773999">
        <w:instrText>ADDIN CSL_CITATION {"citationItems":[{"id":"ITEM-1","itemData":{"DOI":"10.1023/A:1023611131068","ISSN":"00224766","abstract":"A method for multiconformational modeling of the three-dimensional shape of a molecule is proposed that includes search for conformers, their optimum superposition, and analysis of spatial features of the resulting structure. The method allows one to determine features of various molecular conformations of compounds under study, to assess the contributions of conformers to particular properties of the substance, to evaluate the space occupied by the molecule, and to compare the average size of the multiconformational model of the molecule with the sizes of the most stable conformations. The potentials of the model are illustrated by density calculations for 137 organic liquids. © 2002 Plenum Publishing Corporation.","author":[{"dropping-particle":"V.","family":"Bartashevich","given":"E.","non-dropping-particle":"","parse-names":false,"suffix":""},{"dropping-particle":"","family":"Potemkin","given":"V. A.","non-dropping-particle":"","parse-names":false,"suffix":""},{"dropping-particle":"","family":"Grishina","given":"M. A.","non-dropping-particle":"","parse-names":false,"suffix":""},{"dropping-particle":"V.","family":"Belik","given":"A.","non-dropping-particle":"","parse-names":false,"suffix":""}],"container-title":"Journal of Structural Chemistry","id":"ITEM-1","issue":"6","issued":{"date-parts":[["2002"]]},"page":"1033-1039","title":"A METHOD FOR MULTICONFORMATIONAL MODELING OF THE THREE-DIMENSIONAL SHAPE OF A MOLECULE","type":"article-journal","volume":"43"},"uris":["http://www.mendeley.com/documents/?uuid=09b4c319-cf99-45f4-a3d2-33d940a40a63"]}],"mendeley":{"formattedCitation":"&lt;sup&gt;33&lt;/sup&gt;","plainTextFormattedCitation":"33","previouslyFormattedCitation":"&lt;sup&gt;33&lt;/sup&gt;"},"properties":{"noteIndex":0},"schema":"https://github.com/citation-style-language/schema/raw/master/csl-citation.json"}</w:instrText>
      </w:r>
      <w:r w:rsidR="00F903B1">
        <w:fldChar w:fldCharType="separate"/>
      </w:r>
      <w:r w:rsidR="00F903B1" w:rsidRPr="00F903B1">
        <w:rPr>
          <w:noProof/>
          <w:vertAlign w:val="superscript"/>
        </w:rPr>
        <w:t>33</w:t>
      </w:r>
      <w:r w:rsidR="00F903B1">
        <w:fldChar w:fldCharType="end"/>
      </w:r>
      <w:r w:rsidRPr="00F36B34">
        <w:t xml:space="preserve"> The calculation of the difference between the LUMO and HOMO energies was carried out </w:t>
      </w:r>
      <w:r w:rsidR="00D939C8">
        <w:t>o</w:t>
      </w:r>
      <w:r w:rsidRPr="00F36B34">
        <w:t>n the basis of DFT B3LYP 6/</w:t>
      </w:r>
      <w:proofErr w:type="gramStart"/>
      <w:r w:rsidRPr="00F36B34">
        <w:t>311G(</w:t>
      </w:r>
      <w:proofErr w:type="spellStart"/>
      <w:proofErr w:type="gramEnd"/>
      <w:r w:rsidRPr="00F36B34">
        <w:t>d,p</w:t>
      </w:r>
      <w:proofErr w:type="spellEnd"/>
      <w:r w:rsidRPr="00F36B34">
        <w:t xml:space="preserve">) for the </w:t>
      </w:r>
      <w:proofErr w:type="spellStart"/>
      <w:r w:rsidRPr="00F36B34">
        <w:t>zwitterionic</w:t>
      </w:r>
      <w:proofErr w:type="spellEnd"/>
      <w:r w:rsidRPr="00F36B34">
        <w:t xml:space="preserve"> forms of amino acids.</w:t>
      </w:r>
      <w:r w:rsidR="00C96030">
        <w:br w:type="page"/>
      </w:r>
    </w:p>
    <w:p w:rsidR="00DE089D" w:rsidRPr="00F36B34" w:rsidRDefault="00DE089D" w:rsidP="00F36B34">
      <w:pPr>
        <w:pStyle w:val="TAMainText"/>
      </w:pPr>
      <w:r w:rsidRPr="00F36B34">
        <w:lastRenderedPageBreak/>
        <w:t>RESULTS AND DISCUSSION</w:t>
      </w:r>
    </w:p>
    <w:p w:rsidR="00DE089D" w:rsidRPr="00F36B34" w:rsidRDefault="00DE089D" w:rsidP="00F36B34">
      <w:pPr>
        <w:pStyle w:val="TAMainText"/>
      </w:pPr>
    </w:p>
    <w:p w:rsidR="00DD1034" w:rsidRPr="00737DD1" w:rsidRDefault="00DD1034" w:rsidP="00DD1034">
      <w:pPr>
        <w:pStyle w:val="TAMainText"/>
      </w:pPr>
      <w:proofErr w:type="gramStart"/>
      <w:r w:rsidRPr="002E4A3B">
        <w:rPr>
          <w:b/>
        </w:rPr>
        <w:t>Nanomaterial Characterization.</w:t>
      </w:r>
      <w:proofErr w:type="gramEnd"/>
      <w:r w:rsidRPr="00F36B34">
        <w:t xml:space="preserve"> TEM images of TiO</w:t>
      </w:r>
      <w:r w:rsidRPr="002E4A3B">
        <w:rPr>
          <w:vertAlign w:val="subscript"/>
        </w:rPr>
        <w:t>2</w:t>
      </w:r>
      <w:r w:rsidRPr="00F36B34">
        <w:t xml:space="preserve"> particles in </w:t>
      </w:r>
      <w:r w:rsidRPr="002E4A3B">
        <w:rPr>
          <w:b/>
        </w:rPr>
        <w:t>Figure 1A</w:t>
      </w:r>
      <w:r w:rsidRPr="00F36B34">
        <w:t xml:space="preserve"> and </w:t>
      </w:r>
      <w:r w:rsidRPr="002E4A3B">
        <w:rPr>
          <w:b/>
        </w:rPr>
        <w:t>1B</w:t>
      </w:r>
      <w:r w:rsidRPr="00F36B34">
        <w:t xml:space="preserve"> clearly show a high degree of crystallinity of the synthesized material. The electron diffraction pattern in </w:t>
      </w:r>
      <w:r w:rsidRPr="002E4A3B">
        <w:rPr>
          <w:b/>
        </w:rPr>
        <w:t>Figure 1C</w:t>
      </w:r>
      <w:r w:rsidRPr="00F36B34">
        <w:t xml:space="preserve"> shows lattice fringes corresponding to (101) faces of anatase.</w:t>
      </w:r>
      <w:r>
        <w:t xml:space="preserve"> The TiO</w:t>
      </w:r>
      <w:r w:rsidRPr="00737DD1">
        <w:rPr>
          <w:vertAlign w:val="subscript"/>
        </w:rPr>
        <w:t>2</w:t>
      </w:r>
      <w:r>
        <w:t xml:space="preserve"> nanocrystals are anisotropic with d</w:t>
      </w:r>
      <w:r w:rsidRPr="00710745">
        <w:t xml:space="preserve">imensions </w:t>
      </w:r>
      <w:r>
        <w:t>varying</w:t>
      </w:r>
      <w:r w:rsidRPr="00710745">
        <w:t xml:space="preserve"> in the rang</w:t>
      </w:r>
      <w:r w:rsidR="00FD1501">
        <w:t>e of 5 to 20 nm (</w:t>
      </w:r>
      <w:r w:rsidR="00FD1501" w:rsidRPr="009B6717">
        <w:rPr>
          <w:b/>
        </w:rPr>
        <w:t>Figure</w:t>
      </w:r>
      <w:r w:rsidRPr="009B6717">
        <w:rPr>
          <w:b/>
        </w:rPr>
        <w:t xml:space="preserve"> 1A</w:t>
      </w:r>
      <w:r>
        <w:t>) and</w:t>
      </w:r>
      <w:r w:rsidRPr="00710745">
        <w:t xml:space="preserve"> being 10.6</w:t>
      </w:r>
      <w:r w:rsidR="006424F1">
        <w:t> </w:t>
      </w:r>
      <w:r w:rsidRPr="00710745">
        <w:t>±</w:t>
      </w:r>
      <w:r w:rsidR="006424F1">
        <w:t> </w:t>
      </w:r>
      <w:r w:rsidRPr="00710745">
        <w:t xml:space="preserve">3.3 nm an average crystal size calculated from the Gaussian fit of the size </w:t>
      </w:r>
      <w:r w:rsidRPr="00FD1501">
        <w:t xml:space="preserve">distribution </w:t>
      </w:r>
      <w:r w:rsidR="00FD1501" w:rsidRPr="00FD1501">
        <w:t>(See Figure S2</w:t>
      </w:r>
      <w:r w:rsidRPr="00FD1501">
        <w:t>).</w:t>
      </w: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3544"/>
        <w:gridCol w:w="3260"/>
      </w:tblGrid>
      <w:tr w:rsidR="00DD1034" w:rsidTr="00FD1501">
        <w:trPr>
          <w:trHeight w:val="2246"/>
        </w:trPr>
        <w:tc>
          <w:tcPr>
            <w:tcW w:w="2943" w:type="dxa"/>
          </w:tcPr>
          <w:p w:rsidR="00DD1034" w:rsidRPr="00FD1501" w:rsidRDefault="00DD1034" w:rsidP="0008476B">
            <w:pPr>
              <w:pStyle w:val="TAMainText"/>
              <w:ind w:firstLine="0"/>
              <w:jc w:val="center"/>
              <w:rPr>
                <w:lang w:val="en-US"/>
              </w:rPr>
            </w:pPr>
            <w:r>
              <w:rPr>
                <w:b/>
                <w:noProof/>
                <w:lang w:eastAsia="ru-RU"/>
              </w:rPr>
              <w:drawing>
                <wp:inline distT="0" distB="0" distL="0" distR="0" wp14:anchorId="3B967BE8" wp14:editId="171C3991">
                  <wp:extent cx="1362193" cy="1343025"/>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O2-001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84" cy="1347749"/>
                          </a:xfrm>
                          <a:prstGeom prst="rect">
                            <a:avLst/>
                          </a:prstGeom>
                        </pic:spPr>
                      </pic:pic>
                    </a:graphicData>
                  </a:graphic>
                </wp:inline>
              </w:drawing>
            </w:r>
          </w:p>
        </w:tc>
        <w:tc>
          <w:tcPr>
            <w:tcW w:w="3544" w:type="dxa"/>
          </w:tcPr>
          <w:p w:rsidR="00DD1034" w:rsidRDefault="00DD1034" w:rsidP="0008476B">
            <w:pPr>
              <w:pStyle w:val="TAMainText"/>
              <w:ind w:firstLine="0"/>
              <w:jc w:val="center"/>
            </w:pPr>
            <w:r>
              <w:rPr>
                <w:rFonts w:ascii="Times New Roman" w:hAnsi="Times New Roman"/>
                <w:noProof/>
                <w:szCs w:val="24"/>
                <w:lang w:eastAsia="ru-RU"/>
              </w:rPr>
              <w:drawing>
                <wp:inline distT="0" distB="0" distL="0" distR="0" wp14:anchorId="30D931B0" wp14:editId="175407C1">
                  <wp:extent cx="1800800" cy="1343025"/>
                  <wp:effectExtent l="0" t="0" r="9525" b="0"/>
                  <wp:docPr id="25" name="Рисунок 18" descr="TEM TiO2 10 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TiO2 10 nm.tif"/>
                          <pic:cNvPicPr/>
                        </pic:nvPicPr>
                        <pic:blipFill>
                          <a:blip r:embed="rId10" cstate="print"/>
                          <a:stretch>
                            <a:fillRect/>
                          </a:stretch>
                        </pic:blipFill>
                        <pic:spPr>
                          <a:xfrm>
                            <a:off x="0" y="0"/>
                            <a:ext cx="1807742" cy="1348202"/>
                          </a:xfrm>
                          <a:prstGeom prst="rect">
                            <a:avLst/>
                          </a:prstGeom>
                        </pic:spPr>
                      </pic:pic>
                    </a:graphicData>
                  </a:graphic>
                </wp:inline>
              </w:drawing>
            </w:r>
          </w:p>
        </w:tc>
        <w:tc>
          <w:tcPr>
            <w:tcW w:w="3260" w:type="dxa"/>
          </w:tcPr>
          <w:p w:rsidR="00DD1034" w:rsidRDefault="00DD1034" w:rsidP="0008476B">
            <w:pPr>
              <w:pStyle w:val="TAMainText"/>
              <w:ind w:firstLine="0"/>
              <w:jc w:val="center"/>
              <w:rPr>
                <w:rFonts w:ascii="Times New Roman" w:hAnsi="Times New Roman"/>
                <w:noProof/>
                <w:szCs w:val="24"/>
                <w:lang w:eastAsia="ru-RU"/>
              </w:rPr>
            </w:pPr>
            <w:r>
              <w:rPr>
                <w:rFonts w:ascii="Times New Roman" w:hAnsi="Times New Roman"/>
                <w:noProof/>
                <w:szCs w:val="24"/>
                <w:lang w:eastAsia="ru-RU"/>
              </w:rPr>
              <w:drawing>
                <wp:inline distT="0" distB="0" distL="0" distR="0" wp14:anchorId="0DBA3049" wp14:editId="3ADB2AB3">
                  <wp:extent cx="1724025" cy="1345128"/>
                  <wp:effectExtent l="0" t="0" r="0" b="7620"/>
                  <wp:docPr id="27" name="Рисунок 26" descr="SAED Ti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D TiO2.tif"/>
                          <pic:cNvPicPr/>
                        </pic:nvPicPr>
                        <pic:blipFill>
                          <a:blip r:embed="rId11" cstate="print"/>
                          <a:stretch>
                            <a:fillRect/>
                          </a:stretch>
                        </pic:blipFill>
                        <pic:spPr>
                          <a:xfrm>
                            <a:off x="0" y="0"/>
                            <a:ext cx="1726173" cy="1346804"/>
                          </a:xfrm>
                          <a:prstGeom prst="rect">
                            <a:avLst/>
                          </a:prstGeom>
                        </pic:spPr>
                      </pic:pic>
                    </a:graphicData>
                  </a:graphic>
                </wp:inline>
              </w:drawing>
            </w:r>
          </w:p>
        </w:tc>
      </w:tr>
      <w:tr w:rsidR="00DD1034" w:rsidTr="00FD1501">
        <w:trPr>
          <w:trHeight w:val="408"/>
        </w:trPr>
        <w:tc>
          <w:tcPr>
            <w:tcW w:w="2943" w:type="dxa"/>
            <w:vAlign w:val="center"/>
          </w:tcPr>
          <w:p w:rsidR="00DD1034" w:rsidRPr="00661AB0" w:rsidRDefault="00DD1034" w:rsidP="0008476B">
            <w:pPr>
              <w:pStyle w:val="TCTableBody"/>
              <w:jc w:val="center"/>
            </w:pPr>
            <w:r w:rsidRPr="00661AB0">
              <w:t>A</w:t>
            </w:r>
          </w:p>
        </w:tc>
        <w:tc>
          <w:tcPr>
            <w:tcW w:w="3544" w:type="dxa"/>
            <w:vAlign w:val="center"/>
          </w:tcPr>
          <w:p w:rsidR="00DD1034" w:rsidRPr="00661AB0" w:rsidRDefault="00DD1034" w:rsidP="0008476B">
            <w:pPr>
              <w:pStyle w:val="TCTableBody"/>
              <w:jc w:val="center"/>
            </w:pPr>
            <w:r w:rsidRPr="00661AB0">
              <w:t>B</w:t>
            </w:r>
          </w:p>
        </w:tc>
        <w:tc>
          <w:tcPr>
            <w:tcW w:w="3260" w:type="dxa"/>
          </w:tcPr>
          <w:p w:rsidR="00DD1034" w:rsidRPr="00661AB0" w:rsidRDefault="00DD1034" w:rsidP="0008476B">
            <w:pPr>
              <w:pStyle w:val="TCTableBody"/>
              <w:jc w:val="center"/>
            </w:pPr>
            <w:r>
              <w:rPr>
                <w:rFonts w:ascii="Times New Roman" w:hAnsi="Times New Roman"/>
                <w:noProof/>
                <w:szCs w:val="24"/>
                <w:lang w:eastAsia="ru-RU"/>
              </w:rPr>
              <w:t>С</w:t>
            </w:r>
          </w:p>
        </w:tc>
      </w:tr>
    </w:tbl>
    <w:p w:rsidR="00645136" w:rsidRPr="00BE0A6B" w:rsidRDefault="00BE0A6B" w:rsidP="00BE0A6B">
      <w:pPr>
        <w:pStyle w:val="VAFigureCaption"/>
      </w:pPr>
      <w:proofErr w:type="gramStart"/>
      <w:r w:rsidRPr="00BE0A6B">
        <w:rPr>
          <w:b/>
        </w:rPr>
        <w:t>Figure 1.</w:t>
      </w:r>
      <w:proofErr w:type="gramEnd"/>
      <w:r w:rsidRPr="00BE0A6B">
        <w:t xml:space="preserve"> TEM images (A, B) and </w:t>
      </w:r>
      <w:proofErr w:type="gramStart"/>
      <w:r w:rsidRPr="00BE0A6B">
        <w:t>corresponding</w:t>
      </w:r>
      <w:proofErr w:type="gramEnd"/>
      <w:r w:rsidRPr="00BE0A6B">
        <w:t xml:space="preserve"> the selected-area electron diffraction (SAED) patterns (C) of TiO</w:t>
      </w:r>
      <w:r w:rsidRPr="00BE0A6B">
        <w:rPr>
          <w:vertAlign w:val="subscript"/>
        </w:rPr>
        <w:t>2</w:t>
      </w:r>
      <w:r w:rsidRPr="00BE0A6B">
        <w:t xml:space="preserve"> nanostructures.</w:t>
      </w:r>
    </w:p>
    <w:p w:rsidR="0036102D" w:rsidRDefault="0036102D" w:rsidP="0036102D">
      <w:pPr>
        <w:pStyle w:val="TAMainText"/>
      </w:pPr>
      <w:r w:rsidRPr="0036102D">
        <w:rPr>
          <w:b/>
        </w:rPr>
        <w:t>Figure 2A</w:t>
      </w:r>
      <w:r w:rsidRPr="0036102D">
        <w:t xml:space="preserve"> shows the XRD pattern of the calcined sample of TiO</w:t>
      </w:r>
      <w:r w:rsidRPr="0036102D">
        <w:rPr>
          <w:vertAlign w:val="subscript"/>
        </w:rPr>
        <w:t>2</w:t>
      </w:r>
      <w:r w:rsidRPr="0036102D">
        <w:t xml:space="preserve"> nanoparticles. The determined characteristics, 2Ѳ values and [</w:t>
      </w:r>
      <w:proofErr w:type="spellStart"/>
      <w:r w:rsidRPr="0036102D">
        <w:t>hkl</w:t>
      </w:r>
      <w:proofErr w:type="spellEnd"/>
      <w:r w:rsidRPr="0036102D">
        <w:t>] planes are 25.36° [101], 38.01° [004], 48.10° [200], 54.11° [105], 54.98° [211], 62.76° [204], 68.96° [116], 70.30° [220], 75.25° [215] and 82.77° [303] respectively, which refer to</w:t>
      </w:r>
      <w:r>
        <w:t xml:space="preserve"> the anatase crystal structure.</w:t>
      </w:r>
      <w:r w:rsidR="00F903B1">
        <w:fldChar w:fldCharType="begin" w:fldLock="1"/>
      </w:r>
      <w:r w:rsidR="00773999">
        <w:instrText>ADDIN CSL_CITATION {"citationItems":[{"id":"ITEM-1","itemData":{"DOI":"10.1016/j.saa.2013.12.006","ISSN":"13861425","abstract":"Pure and Manganese (4%, 8%, 12% and 16%) doped titanium di-oxide (Mn-TiO2) nanoparticles were synthesized by sol-gel technique. The preparation of pure and Mn doped TiO2 nanoparticles were achieved by tetra-isopropyl orthotitanate and 2-propanol as common starting materials and the products were annealed at 450 C and 750 C to get anatase and rutile phases, respectively. The prepared materials were characterized by X-ray diffraction analysis (XRD), Fourier transform infra-red spectroscopy (FT-IR), UV-VIS-Diffuse reflectance spectroscopy (DRS), Photoluminescence (PL) spectroscopy, Scanning electron microscopy (SEM) with Energy dispersive X-ray analysis (EDX) and Kurtz powder second harmonic generation (SHG) test. XRD patterns confirmed the crystalline nature and tetragonal structure of synthesized materials. The functional groups present in the samples were identified by FTIR study. The allowed direct and indirect band gap energies, as well as the crystallite sizes of obtained nanoparticles were calculated from DRS analysis. Microstructures and elemental identification were done by SEM with EDX analysis. The existence of SHG signals was observed using Nd: YAG laser with fundamental wavelength of 1064 nm. The products were found to be transparent in the entire visible region with cut-off wavelengths within the UV region confirms its suitability for device fabrications. ?? 2013 Elsevier B.V. All rights reserved.","author":[{"dropping-particle":"","family":"Praveen","given":"P.","non-dropping-particle":"","parse-names":false,"suffix":""},{"dropping-particle":"","family":"Viruthagiri","given":"G.","non-dropping-particle":"","parse-names":false,"suffix":""},{"dropping-particle":"","family":"Mugundan","given":"S.","non-dropping-particle":"","parse-names":false,"suffix":""},{"dropping-particle":"","family":"Shanmugam","given":"N.","non-dropping-particle":"","parse-names":false,"suffix":""}],"container-title":"Spectrochimica Acta - Part A: Molecular and Biomolecular Spectroscopy","id":"ITEM-1","issued":{"date-parts":[["2014"]]},"page":"548-557","publisher":"Elsevier B.V.","title":"Sol-gel synthesis and characterization of pure and manganese doped TiO 2 nanoparticles - A new NLO active material","type":"article-journal","volume":"120"},"uris":["http://www.mendeley.com/documents/?uuid=ac39f784-de63-4427-918a-07c5798707be"]}],"mendeley":{"formattedCitation":"&lt;sup&gt;34&lt;/sup&gt;","plainTextFormattedCitation":"34","previouslyFormattedCitation":"&lt;sup&gt;34&lt;/sup&gt;"},"properties":{"noteIndex":0},"schema":"https://github.com/citation-style-language/schema/raw/master/csl-citation.json"}</w:instrText>
      </w:r>
      <w:r w:rsidR="00F903B1">
        <w:fldChar w:fldCharType="separate"/>
      </w:r>
      <w:r w:rsidR="00F903B1" w:rsidRPr="00F903B1">
        <w:rPr>
          <w:noProof/>
          <w:vertAlign w:val="superscript"/>
        </w:rPr>
        <w:t>34</w:t>
      </w:r>
      <w:r w:rsidR="00F903B1">
        <w:fldChar w:fldCharType="end"/>
      </w:r>
      <w:r w:rsidRPr="0036102D">
        <w:t xml:space="preserve"> Rutile and brookite most intensive peaks at 27° and 30° respectively are not detected, meaning the crystalline phase is a 100% anatase. Average crystal size calculated with </w:t>
      </w:r>
      <w:r w:rsidRPr="00AC56EF">
        <w:rPr>
          <w:noProof/>
        </w:rPr>
        <w:t>Scherrer</w:t>
      </w:r>
      <w:r w:rsidRPr="0036102D">
        <w:t xml:space="preserve"> equation using FWHM (full width at half maximum) of the most in</w:t>
      </w:r>
      <w:r w:rsidR="009120BD">
        <w:t>tensive anatase peak at 25.36°</w:t>
      </w:r>
      <w:r w:rsidR="009120BD" w:rsidRPr="009120BD">
        <w:t xml:space="preserve"> </w:t>
      </w:r>
      <w:r w:rsidRPr="0036102D">
        <w:t>corresponds to 8.2</w:t>
      </w:r>
      <w:r w:rsidR="00870FBA">
        <w:t> </w:t>
      </w:r>
      <w:r w:rsidRPr="0036102D">
        <w:t xml:space="preserve">nm. </w:t>
      </w:r>
      <w:r w:rsidR="00D53E11" w:rsidRPr="005532D4">
        <w:t xml:space="preserve">Average crystallite </w:t>
      </w:r>
      <w:proofErr w:type="gramStart"/>
      <w:r w:rsidR="00D53E11" w:rsidRPr="005532D4">
        <w:t xml:space="preserve">size </w:t>
      </w:r>
      <w:r w:rsidR="00561565" w:rsidRPr="005532D4">
        <w:t xml:space="preserve">calculated by </w:t>
      </w:r>
      <w:proofErr w:type="spellStart"/>
      <w:r w:rsidR="00561565" w:rsidRPr="005532D4">
        <w:t>Scherrer</w:t>
      </w:r>
      <w:proofErr w:type="spellEnd"/>
      <w:r w:rsidR="00561565" w:rsidRPr="005532D4">
        <w:t xml:space="preserve"> equation agree</w:t>
      </w:r>
      <w:proofErr w:type="gramEnd"/>
      <w:r w:rsidR="00561565" w:rsidRPr="005532D4">
        <w:t xml:space="preserve"> with </w:t>
      </w:r>
      <w:r w:rsidR="00D53E11" w:rsidRPr="005532D4">
        <w:t xml:space="preserve">estimations made by TEM observation </w:t>
      </w:r>
      <w:r w:rsidR="00D53E11" w:rsidRPr="005532D4">
        <w:lastRenderedPageBreak/>
        <w:t>when the error is taken into account.</w:t>
      </w:r>
      <w:r w:rsidR="00DD1034" w:rsidRPr="0036102D">
        <w:t xml:space="preserve"> </w:t>
      </w:r>
      <w:r w:rsidRPr="0036102D">
        <w:t>The weight percentage of t</w:t>
      </w:r>
      <w:r>
        <w:t>he amorphous phase is 1.1</w:t>
      </w:r>
      <w:r w:rsidR="00870FBA">
        <w:t xml:space="preserve"> </w:t>
      </w:r>
      <w:r>
        <w:t>± 0.5</w:t>
      </w:r>
      <w:r w:rsidR="0008476B">
        <w:t>% (see Figure S3</w:t>
      </w:r>
      <w:r w:rsidRPr="0036102D">
        <w:t>).</w:t>
      </w:r>
    </w:p>
    <w:p w:rsidR="00151FD0" w:rsidRDefault="0036102D" w:rsidP="00151FD0">
      <w:pPr>
        <w:pStyle w:val="TAMainText"/>
      </w:pPr>
      <w:r>
        <w:t xml:space="preserve">FTIR pattern of nanocrystalline anatase sample is depicted in </w:t>
      </w:r>
      <w:r w:rsidRPr="0036102D">
        <w:rPr>
          <w:b/>
        </w:rPr>
        <w:t>Figure 2B</w:t>
      </w:r>
      <w:r>
        <w:t>. The most intensive and wide band at 400÷900 cm</w:t>
      </w:r>
      <w:r w:rsidRPr="0036102D">
        <w:rPr>
          <w:vertAlign w:val="superscript"/>
        </w:rPr>
        <w:noBreakHyphen/>
        <w:t>1</w:t>
      </w:r>
      <w:r>
        <w:t xml:space="preserve"> is attributed to the titanium dioxide lattice vibrations. Adsorption band at 3000÷3700 cm</w:t>
      </w:r>
      <w:r w:rsidRPr="0036102D">
        <w:rPr>
          <w:vertAlign w:val="superscript"/>
        </w:rPr>
        <w:noBreakHyphen/>
        <w:t>1</w:t>
      </w:r>
      <w:r>
        <w:t xml:space="preserve"> corresponds to the surface hydroxyl group stretching vibrations, while the small band at 1650 cm</w:t>
      </w:r>
      <w:r w:rsidRPr="0036102D">
        <w:rPr>
          <w:vertAlign w:val="superscript"/>
        </w:rPr>
        <w:noBreakHyphen/>
        <w:t>1</w:t>
      </w:r>
      <w:r>
        <w:t xml:space="preserve"> corresponds to the O</w:t>
      </w:r>
      <w:r>
        <w:noBreakHyphen/>
        <w:t>H bonds deformation mode.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E0A6B" w:rsidTr="0047532B">
        <w:tc>
          <w:tcPr>
            <w:tcW w:w="4785" w:type="dxa"/>
            <w:vAlign w:val="center"/>
          </w:tcPr>
          <w:p w:rsidR="00BE0A6B" w:rsidRDefault="00BE0A6B" w:rsidP="0047532B">
            <w:pPr>
              <w:jc w:val="center"/>
              <w:rPr>
                <w:rFonts w:ascii="Times New Roman" w:hAnsi="Times New Roman" w:cs="Times New Roman"/>
                <w:szCs w:val="24"/>
                <w:lang w:val="en-US"/>
              </w:rPr>
            </w:pPr>
            <w:r>
              <w:rPr>
                <w:rFonts w:ascii="Times New Roman" w:hAnsi="Times New Roman"/>
                <w:noProof/>
                <w:szCs w:val="24"/>
                <w:lang w:eastAsia="ru-RU"/>
              </w:rPr>
              <w:drawing>
                <wp:inline distT="0" distB="0" distL="0" distR="0" wp14:anchorId="0501E820" wp14:editId="3532D7F6">
                  <wp:extent cx="3060000" cy="2123289"/>
                  <wp:effectExtent l="0" t="0" r="7620" b="0"/>
                  <wp:docPr id="32" name="Рисунок 31" descr="XRD Ti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 TiO2.tif"/>
                          <pic:cNvPicPr/>
                        </pic:nvPicPr>
                        <pic:blipFill>
                          <a:blip r:embed="rId12" cstate="print"/>
                          <a:stretch>
                            <a:fillRect/>
                          </a:stretch>
                        </pic:blipFill>
                        <pic:spPr>
                          <a:xfrm>
                            <a:off x="0" y="0"/>
                            <a:ext cx="3060000" cy="2123289"/>
                          </a:xfrm>
                          <a:prstGeom prst="rect">
                            <a:avLst/>
                          </a:prstGeom>
                        </pic:spPr>
                      </pic:pic>
                    </a:graphicData>
                  </a:graphic>
                </wp:inline>
              </w:drawing>
            </w:r>
          </w:p>
        </w:tc>
        <w:tc>
          <w:tcPr>
            <w:tcW w:w="4786" w:type="dxa"/>
            <w:vAlign w:val="center"/>
          </w:tcPr>
          <w:p w:rsidR="00BE0A6B" w:rsidRDefault="00BE0A6B" w:rsidP="0047532B">
            <w:pPr>
              <w:jc w:val="center"/>
              <w:rPr>
                <w:rFonts w:ascii="Times New Roman" w:hAnsi="Times New Roman" w:cs="Times New Roman"/>
                <w:szCs w:val="24"/>
                <w:lang w:val="en-US"/>
              </w:rPr>
            </w:pPr>
            <w:r w:rsidRPr="00837188">
              <w:rPr>
                <w:rFonts w:ascii="Times New Roman" w:hAnsi="Times New Roman"/>
                <w:noProof/>
                <w:szCs w:val="24"/>
                <w:lang w:eastAsia="ru-RU"/>
              </w:rPr>
              <w:drawing>
                <wp:inline distT="0" distB="0" distL="0" distR="0" wp14:anchorId="7A93C504" wp14:editId="11FA23B1">
                  <wp:extent cx="3060000" cy="2139551"/>
                  <wp:effectExtent l="0" t="0" r="7620" b="0"/>
                  <wp:docPr id="31" name="Рисунок 8" descr="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tif"/>
                          <pic:cNvPicPr/>
                        </pic:nvPicPr>
                        <pic:blipFill>
                          <a:blip r:embed="rId13" cstate="print"/>
                          <a:stretch>
                            <a:fillRect/>
                          </a:stretch>
                        </pic:blipFill>
                        <pic:spPr>
                          <a:xfrm>
                            <a:off x="0" y="0"/>
                            <a:ext cx="3060000" cy="2139551"/>
                          </a:xfrm>
                          <a:prstGeom prst="rect">
                            <a:avLst/>
                          </a:prstGeom>
                        </pic:spPr>
                      </pic:pic>
                    </a:graphicData>
                  </a:graphic>
                </wp:inline>
              </w:drawing>
            </w:r>
          </w:p>
        </w:tc>
      </w:tr>
      <w:tr w:rsidR="00BE0A6B" w:rsidTr="0047532B">
        <w:tc>
          <w:tcPr>
            <w:tcW w:w="4785" w:type="dxa"/>
            <w:vAlign w:val="center"/>
          </w:tcPr>
          <w:p w:rsidR="00BE0A6B" w:rsidRPr="00297FEA" w:rsidRDefault="00BE0A6B" w:rsidP="00297FEA">
            <w:pPr>
              <w:pStyle w:val="TCTableBody"/>
              <w:jc w:val="center"/>
            </w:pPr>
            <w:r w:rsidRPr="00297FEA">
              <w:t>A</w:t>
            </w:r>
          </w:p>
        </w:tc>
        <w:tc>
          <w:tcPr>
            <w:tcW w:w="4786" w:type="dxa"/>
            <w:vAlign w:val="center"/>
          </w:tcPr>
          <w:p w:rsidR="00BE0A6B" w:rsidRPr="00297FEA" w:rsidRDefault="00BE0A6B" w:rsidP="00297FEA">
            <w:pPr>
              <w:pStyle w:val="TCTableBody"/>
              <w:jc w:val="center"/>
            </w:pPr>
            <w:r w:rsidRPr="00297FEA">
              <w:t>B</w:t>
            </w:r>
          </w:p>
        </w:tc>
      </w:tr>
    </w:tbl>
    <w:p w:rsidR="00645136" w:rsidRPr="007151D8" w:rsidRDefault="00BE0A6B" w:rsidP="007151D8">
      <w:pPr>
        <w:pStyle w:val="VAFigureCaption"/>
      </w:pPr>
      <w:proofErr w:type="gramStart"/>
      <w:r w:rsidRPr="007151D8">
        <w:rPr>
          <w:b/>
        </w:rPr>
        <w:t>Figure 2.</w:t>
      </w:r>
      <w:proofErr w:type="gramEnd"/>
      <w:r w:rsidRPr="007151D8">
        <w:t xml:space="preserve"> </w:t>
      </w:r>
      <w:proofErr w:type="gramStart"/>
      <w:r w:rsidRPr="007151D8">
        <w:t>XRD pattern of the TiO</w:t>
      </w:r>
      <w:r w:rsidRPr="007151D8">
        <w:rPr>
          <w:vertAlign w:val="subscript"/>
        </w:rPr>
        <w:t>2</w:t>
      </w:r>
      <w:r w:rsidRPr="007151D8">
        <w:t xml:space="preserve"> sample (A) and FTIR spectrum of TiO</w:t>
      </w:r>
      <w:r w:rsidRPr="007151D8">
        <w:rPr>
          <w:vertAlign w:val="subscript"/>
        </w:rPr>
        <w:t>2</w:t>
      </w:r>
      <w:r w:rsidRPr="007151D8">
        <w:t xml:space="preserve"> nanoparticles (B).</w:t>
      </w:r>
      <w:proofErr w:type="gramEnd"/>
    </w:p>
    <w:p w:rsidR="00FD5D52" w:rsidRPr="00BB6CB2" w:rsidRDefault="00151FD0" w:rsidP="00BB6CB2">
      <w:pPr>
        <w:pStyle w:val="TAMainText"/>
      </w:pPr>
      <w:r w:rsidRPr="00151FD0">
        <w:t xml:space="preserve">Specific surface area calculated based on BET method is </w:t>
      </w:r>
      <w:proofErr w:type="gramStart"/>
      <w:r w:rsidRPr="00151FD0">
        <w:t>131.9 m</w:t>
      </w:r>
      <w:r w:rsidRPr="00151FD0">
        <w:rPr>
          <w:vertAlign w:val="superscript"/>
        </w:rPr>
        <w:t>2</w:t>
      </w:r>
      <w:r w:rsidR="0008476B">
        <w:t>/g (see Figure S4</w:t>
      </w:r>
      <w:r w:rsidRPr="00151FD0">
        <w:t>)</w:t>
      </w:r>
      <w:proofErr w:type="gramEnd"/>
      <w:r w:rsidRPr="00151FD0">
        <w:t>.</w:t>
      </w:r>
    </w:p>
    <w:p w:rsidR="00151FD0" w:rsidRPr="00151FD0" w:rsidRDefault="00151FD0" w:rsidP="00151FD0">
      <w:pPr>
        <w:pStyle w:val="TAMainText"/>
      </w:pPr>
      <w:proofErr w:type="gramStart"/>
      <w:r w:rsidRPr="00151FD0">
        <w:rPr>
          <w:b/>
        </w:rPr>
        <w:t>Adsorption of amino acids on nanocrystalline TiO</w:t>
      </w:r>
      <w:r w:rsidRPr="00151FD0">
        <w:rPr>
          <w:b/>
          <w:vertAlign w:val="subscript"/>
        </w:rPr>
        <w:t>2</w:t>
      </w:r>
      <w:r w:rsidRPr="00151FD0">
        <w:rPr>
          <w:b/>
        </w:rPr>
        <w:t>.</w:t>
      </w:r>
      <w:proofErr w:type="gramEnd"/>
      <w:r w:rsidRPr="00151FD0">
        <w:t xml:space="preserve"> Adsorption studies of amino acids at uniform conditions require pH stability. pH strongly influences charges </w:t>
      </w:r>
      <w:r>
        <w:t>of the surface and the sorbate.</w:t>
      </w:r>
      <w:r w:rsidR="00780720">
        <w:fldChar w:fldCharType="begin" w:fldLock="1"/>
      </w:r>
      <w:r w:rsidR="00773999">
        <w:instrText>ADDIN CSL_CITATION {"citationItems":[{"id":"ITEM-1","itemData":{"DOI":"10.1021/la500722n","ISBN":"0743-7463","ISSN":"15205827","PMID":"24978817","abstract":"Nanoparticles in biological media form dynamic entities as a result of competitive adsorption of proteins on nanoparticle surfaces called protein coronas. The protein affinity toward nanoparticle surfaces potentially depends on the constituent amino acid side chains which are on the protein exterior and thus exposed to the solution and available for interaction. Therefore, studying the adsorption of individual amino acids on nanoparticle surfaces can provide valuable insights into the overall evolution of nanoparticles in solution and the protein corona that forms. In the current study, the surface adsorption of l-histidine on TiO2 nanoparticles with a diameter of 5 nm at pH 7.4 (physiological pH) is studied from both macroscopic and molecular perspectives. Quantitative adsorption measurements of l-histidine on 5 nm TiO2 particles yield maximum adsorption coverage of 6.2 ± 0.3 × 10(13) molecules cm(-2) at 293 K and pH 7.4. These quantitative adsorption measurements also yield values for the equilibrium constant and free energy of adsorption of K = 4.3 ± 0.5 × 10(2) L mol(-1) and ΔG = -14.8 ± 0.3 kJ mol(-1), respectively. Detailed analysis of the adsorption between histidine and 5 nm TiO2 nanoparticle surfaces with attenuated total reflectance Fourier transform infrared (ATR-FTIR) spectroscopy indicates both the imidazole side chain and the amine group interacting with the nanoparticle surface and the adsorption to be reversible. The adsorption results in no change in surface charge and therefore does not change nanoparticle-nanoparticle interactions and thus aggregation behavior of these 5 nm TiO2 nanoparticles in aqueous solution.","author":[{"dropping-particle":"","family":"Mudunkotuwa","given":"Imali A.","non-dropping-particle":"","parse-names":false,"suffix":""},{"dropping-particle":"","family":"Grassian","given":"Vicki H.","non-dropping-particle":"","parse-names":false,"suffix":""}],"container-title":"Langmuir","id":"ITEM-1","issued":{"date-parts":[["2014"]]},"title":"Histidine adsorption on TiO2 nanoparticles: An integrated spectroscopic, thermodynamic, and molecular-based approach toward understanding nano-bio interactions","type":"article-journal"},"uris":["http://www.mendeley.com/documents/?uuid=97c7fb96-3919-4f72-8719-2ef67a6afae4"]},{"id":"ITEM-2","itemData":{"DOI":"10.1016/j.vibspec.2008.07.014","ISSN":"09242031","abstract":"Sum frequency generation vibrational spectroscopy (SFG) is a powerful tool for in situ investigation of adsorption processes at biologically important solid-liquid interfaces. In this work adsorption of different amino acids was investigated by SFG at the titanium-dioxide-amino acid solution interface. While both naturally occurring acidic amino acids, aspartic acid and glutamic acid, were found to form an ordered adsorbate layer, amino acids with non-acidic side chains exhibited little affinity towards TiO2. A detailed study of aspartic acid on TiO2 pointed out that both carboxylic groups of the molecule are coordinated to the surface; data taken in the carboxyl stretching frequency range revealed that one of them is bonded monodentally to a surface Ti ion, while the other is most probably stabilized by a hydrogen bond. The results indicate that the acidic side chain is the prerequisite of the formation of a stable, ordered amino acid adsorbate layer on TiO2. © 2008 Elsevier B.V. All rights reserved.","author":[{"dropping-particle":"","family":"Pászti","given":"Z.","non-dropping-particle":"","parse-names":false,"suffix":""},{"dropping-particle":"","family":"Guczi","given":"L.","non-dropping-particle":"","parse-names":false,"suffix":""}],"container-title":"Vibrational Spectroscopy","id":"ITEM-2","issue":"1","issued":{"date-parts":[["2009"]]},"page":"48-56","title":"Amino acid adsorption on hydrophilic TiO2: A sum frequency generation vibrational spectroscopy study","type":"article-journal","volume":"50"},"uris":["http://www.mendeley.com/documents/?uuid=8e0ce918-1e74-4338-aea7-0918f3702c44"]},{"id":"ITEM-3","itemData":{"DOI":"10.1021/acs.jpcb.6b05954","ISSN":"15205207","PMID":"27366959","abstract":"Amino acids and peptides are often used as “model” segments of proteins for studying their behavior in various types of environments, and/or elaborating functional surfaces. Indeed, though the protein behavior is much more complex than that of their isolated segments, knowledge of the binding mode as well as of the chemical structure of peptides on metal or oxide surfaces is a significant step toward the control of materials in a biological environment. Such knowledge has considerably increased in the past few years, thanks to the combination of advanced characterization techniques and of modeling methods. Investigations of biomolecule–surface interactions in water/solvent environments are quite numerous, but only in a few cases is it possible to reach an understanding of the molecule–(water)–surface interaction with a level of detail comparable to that of the UHV studies. This contribution aims at reviewing the recent data describing the amino acid and peptide interaction with metal or oxide surfaces in ...","author":[{"dropping-particle":"","family":"Costa","given":"D.","non-dropping-particle":"","parse-names":false,"suffix":""},{"dropping-particle":"","family":"Savio","given":"L.","non-dropping-particle":"","parse-names":false,"suffix":""},{"dropping-particle":"","family":"Pradier","given":"C. M.","non-dropping-particle":"","parse-names":false,"suffix":""}],"container-title":"Journal of Physical Chemistry B","id":"ITEM-3","issue":"29","issued":{"date-parts":[["2016"]]},"page":"7039-7052","title":"Adsorption of Amino Acids and Peptides on Metal and Oxide Surfaces in Water Environment: A Synthetic and Prospective Review","type":"article-journal","volume":"120"},"uris":["http://www.mendeley.com/documents/?uuid=662b2ebc-5f65-490d-8163-f11668a5a6e0"]}],"mendeley":{"formattedCitation":"&lt;sup&gt;16,18,22&lt;/sup&gt;","plainTextFormattedCitation":"16,18,22","previouslyFormattedCitation":"&lt;sup&gt;16,18,22&lt;/sup&gt;"},"properties":{"noteIndex":0},"schema":"https://github.com/citation-style-language/schema/raw/master/csl-citation.json"}</w:instrText>
      </w:r>
      <w:r w:rsidR="00780720">
        <w:fldChar w:fldCharType="separate"/>
      </w:r>
      <w:r w:rsidR="00780720" w:rsidRPr="00780720">
        <w:rPr>
          <w:noProof/>
          <w:vertAlign w:val="superscript"/>
        </w:rPr>
        <w:t>16,18,22</w:t>
      </w:r>
      <w:r w:rsidR="00780720">
        <w:fldChar w:fldCharType="end"/>
      </w:r>
      <w:r w:rsidRPr="00151FD0">
        <w:t xml:space="preserve"> </w:t>
      </w:r>
      <w:proofErr w:type="gramStart"/>
      <w:r w:rsidRPr="00151FD0">
        <w:t>This</w:t>
      </w:r>
      <w:proofErr w:type="gramEnd"/>
      <w:r w:rsidRPr="00151FD0">
        <w:t xml:space="preserve"> is why we employed MES buffer with pH of 7.4, relating to physiological medium. We refrained from using conventional phosphate buffer as phosphate ions are known to </w:t>
      </w:r>
      <w:r>
        <w:t>suppress amino acid adsorption.</w:t>
      </w:r>
      <w:r w:rsidR="00780720">
        <w:fldChar w:fldCharType="begin" w:fldLock="1"/>
      </w:r>
      <w:r w:rsidR="00773999">
        <w:instrText>ADDIN CSL_CITATION {"citationItems":[{"id":"ITEM-1","itemData":{"DOI":"10.1246/bcsj.54.1595","author":[{"dropping-particle":"","family":"Okazaki S., Aoki T.","given":"Tani K.","non-dropping-particle":"","parse-names":false,"suffix":""}],"container-title":"Bull. Chem. Soc. Jpn.","id":"ITEM-1","issued":{"date-parts":[["1981"]]},"page":"1595-1599","title":"The Adsorption of Basic α-Amino Acids in an Aqueous Solution by Titanium(IV) Oxide","type":"article-journal","volume":"54"},"uris":["http://www.mendeley.com/documents/?uuid=e7c7e539-ec72-44b3-ba50-89c8e10f4081"]}],"mendeley":{"formattedCitation":"&lt;sup&gt;15&lt;/sup&gt;","plainTextFormattedCitation":"15","previouslyFormattedCitation":"&lt;sup&gt;15&lt;/sup&gt;"},"properties":{"noteIndex":0},"schema":"https://github.com/citation-style-language/schema/raw/master/csl-citation.json"}</w:instrText>
      </w:r>
      <w:r w:rsidR="00780720">
        <w:fldChar w:fldCharType="separate"/>
      </w:r>
      <w:r w:rsidR="00780720" w:rsidRPr="00780720">
        <w:rPr>
          <w:noProof/>
          <w:vertAlign w:val="superscript"/>
        </w:rPr>
        <w:t>15</w:t>
      </w:r>
      <w:r w:rsidR="00780720">
        <w:fldChar w:fldCharType="end"/>
      </w:r>
      <w:r w:rsidRPr="00151FD0">
        <w:t xml:space="preserve"> We chose to use the non-coordinating MES-buffer, as it is incapable of forming even weak complexes with metal ions, and thus would n</w:t>
      </w:r>
      <w:r>
        <w:t>ot coordinate surface titanium.</w:t>
      </w:r>
      <w:r w:rsidR="00780720">
        <w:fldChar w:fldCharType="begin" w:fldLock="1"/>
      </w:r>
      <w:r w:rsidR="00773999">
        <w:instrText>ADDIN CSL_CITATION {"citationItems":[{"id":"ITEM-1","itemData":{"DOI":"10.1021/ac9902594","ISBN":"0003-2700","ISSN":"00032700","PMID":"21662904","abstract":"Most of a broad series of buffers developed by Good (often called \"Good's\" or \"Good\" buffers) have been shown to cause metal ion interference as a result of complexation. A series of tertiary amines, devoid of hydroxy groups or other weak donors on the α, β, or γ carbons, have been developed as \"Better\" pH buffers which, as a result of steric hindrance, are incapable of forming even weak complexes with metal ions. As a result, they avert interferences of the type often encountered in metal ion studies which require buffer use. The compounds studied are alkyl and alkylsulfonate derivatives of morpholine (3), piperazine (3), ethylenediamine (3), and methylenediamine (1). With the exception of the morpholine derivatives, these compounds have two protonatable sites and, therefore, can be used to buffer two separate pH regions. A series of 10 buffer compounds span the entire range of pH 3-11. The acid dissociation constants for these compounds have now been determined in aqueous solution at 15, 25, 35 and 45 °C, μ = 0.10 M. From these data, apparent enthalpy and entropy values have been calculated to permit application at other temperatures as well. These buffers are recommended for use in all situations in which metal ions are present. All of the reported compounds are now commercially available.","author":[{"dropping-particle":"","family":"Kandegedara","given":"A.","non-dropping-particle":"","parse-names":false,"suffix":""},{"dropping-particle":"","family":"Rorabacher","given":"D. B.","non-dropping-particle":"","parse-names":false,"suffix":""}],"container-title":"Analytical Chemistry","id":"ITEM-1","issue":"15","issued":{"date-parts":[["1999"]]},"page":"3140-3144","title":"Noncomplexing tertiary amines as 'better' buffers covering the range of pH 3-11. Temperature dependence of their acid dissociation constants","type":"article-journal","volume":"71"},"uris":["http://www.mendeley.com/documents/?uuid=69de7c98-1ce0-4510-8476-96733315fc96"]}],"mendeley":{"formattedCitation":"&lt;sup&gt;35&lt;/sup&gt;","plainTextFormattedCitation":"35","previouslyFormattedCitation":"&lt;sup&gt;35&lt;/sup&gt;"},"properties":{"noteIndex":0},"schema":"https://github.com/citation-style-language/schema/raw/master/csl-citation.json"}</w:instrText>
      </w:r>
      <w:r w:rsidR="00780720">
        <w:fldChar w:fldCharType="separate"/>
      </w:r>
      <w:r w:rsidR="00780720" w:rsidRPr="00780720">
        <w:rPr>
          <w:noProof/>
          <w:vertAlign w:val="superscript"/>
        </w:rPr>
        <w:t>35</w:t>
      </w:r>
      <w:r w:rsidR="00780720">
        <w:fldChar w:fldCharType="end"/>
      </w:r>
    </w:p>
    <w:p w:rsidR="00151FD0" w:rsidRPr="00F20185" w:rsidRDefault="00151FD0" w:rsidP="00151FD0">
      <w:pPr>
        <w:pStyle w:val="TAMainText"/>
      </w:pPr>
      <w:r w:rsidRPr="00151FD0">
        <w:lastRenderedPageBreak/>
        <w:t>Adsorption of amino acids on nanocrystalline titanium dioxide was measured within the temperature range of 0÷40 °C (273.15÷313.15</w:t>
      </w:r>
      <w:r w:rsidR="00CF713F">
        <w:t> </w:t>
      </w:r>
      <w:r w:rsidRPr="00151FD0">
        <w:t xml:space="preserve">K) corresponding to biocompatible conditions. Properties of the mineral sorbent change insignificantly within this range, meaning the fluctuation of the adsorption parameters is caused by changes in the physicochemical properties of the adsorbed amino acids. The dependences of the adsorption from the equilibrium amino acid concentration after adsorption (adsorption isotherms) were plotted according to the obtained experimental data. The </w:t>
      </w:r>
      <w:r w:rsidRPr="00F20185">
        <w:t>value of t</w:t>
      </w:r>
      <w:r w:rsidR="00870FBA" w:rsidRPr="00F20185">
        <w:t xml:space="preserve">he amino acids adsorption (A, </w:t>
      </w:r>
      <w:proofErr w:type="spellStart"/>
      <w:r w:rsidR="00870FBA" w:rsidRPr="00F20185">
        <w:t>mmol</w:t>
      </w:r>
      <w:proofErr w:type="spellEnd"/>
      <w:r w:rsidRPr="00F20185">
        <w:t>/g) on the surface of a solid sorbent was calculated from equation (</w:t>
      </w:r>
      <w:r w:rsidRPr="00F20185">
        <w:rPr>
          <w:i/>
        </w:rPr>
        <w:t>1</w:t>
      </w:r>
      <w:r w:rsidRPr="00F20185">
        <w:t>).</w:t>
      </w:r>
    </w:p>
    <w:p w:rsidR="00151FD0" w:rsidRPr="00F20185" w:rsidRDefault="0001697C" w:rsidP="00CF713F">
      <w:pPr>
        <w:pStyle w:val="TAMainText"/>
        <w:jc w:val="center"/>
      </w:pPr>
      <m:oMath>
        <m:r>
          <w:rPr>
            <w:rFonts w:ascii="Cambria Math" w:hAnsi="Cambria Math"/>
          </w:rPr>
          <m:t>A=</m:t>
        </m:r>
        <m:f>
          <m:fPr>
            <m:ctrlPr>
              <w:rPr>
                <w:rFonts w:ascii="Cambria Math" w:hAnsi="Cambria Math"/>
                <w:i/>
              </w:rPr>
            </m:ctrlPr>
          </m:fPr>
          <m:num>
            <m: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e>
            </m:d>
          </m:num>
          <m:den>
            <m:r>
              <w:rPr>
                <w:rFonts w:ascii="Cambria Math" w:hAnsi="Cambria Math"/>
              </w:rPr>
              <m:t>m</m:t>
            </m:r>
          </m:den>
        </m:f>
      </m:oMath>
      <w:r w:rsidR="00151FD0" w:rsidRPr="00F20185">
        <w:rPr>
          <w:i/>
        </w:rPr>
        <w:tab/>
      </w:r>
      <w:r w:rsidR="00151FD0" w:rsidRPr="00F20185">
        <w:tab/>
        <w:t>(</w:t>
      </w:r>
      <w:r w:rsidR="00151FD0" w:rsidRPr="00F20185">
        <w:rPr>
          <w:i/>
        </w:rPr>
        <w:t>1</w:t>
      </w:r>
      <w:r w:rsidR="00151FD0" w:rsidRPr="00F20185">
        <w:t>),</w:t>
      </w:r>
    </w:p>
    <w:p w:rsidR="00151FD0" w:rsidRPr="00151FD0" w:rsidRDefault="00151FD0" w:rsidP="006E79D2">
      <w:pPr>
        <w:pStyle w:val="TAMainText"/>
        <w:ind w:firstLine="0"/>
      </w:pPr>
      <w:proofErr w:type="gramStart"/>
      <w:r w:rsidRPr="00F20185">
        <w:t>where</w:t>
      </w:r>
      <w:proofErr w:type="gramEnd"/>
      <w:r w:rsidRPr="00F20185">
        <w:t xml:space="preserve"> </w:t>
      </w:r>
      <w:r w:rsidR="001A368C" w:rsidRPr="00F20185">
        <w:t xml:space="preserve">А is the adsorbed amino acid, </w:t>
      </w:r>
      <w:proofErr w:type="spellStart"/>
      <w:r w:rsidR="001A368C" w:rsidRPr="00F20185">
        <w:t>mmol</w:t>
      </w:r>
      <w:proofErr w:type="spellEnd"/>
      <w:r w:rsidRPr="00F20185">
        <w:t>/g; С</w:t>
      </w:r>
      <w:r w:rsidRPr="00F20185">
        <w:rPr>
          <w:vertAlign w:val="subscript"/>
        </w:rPr>
        <w:t>0</w:t>
      </w:r>
      <w:r w:rsidRPr="00151FD0">
        <w:t xml:space="preserve"> и </w:t>
      </w:r>
      <w:proofErr w:type="spellStart"/>
      <w:r w:rsidRPr="00151FD0">
        <w:t>С</w:t>
      </w:r>
      <w:r w:rsidRPr="00151FD0">
        <w:rPr>
          <w:vertAlign w:val="subscript"/>
        </w:rPr>
        <w:t>е</w:t>
      </w:r>
      <w:proofErr w:type="spellEnd"/>
      <w:r w:rsidRPr="00151FD0">
        <w:t xml:space="preserve"> are initial and equilibrium concentrations of amino acids, mM; V is the volume of an initial solution of amino acids, L; m is the mass of the sample adsorbent, g.</w:t>
      </w:r>
    </w:p>
    <w:p w:rsidR="00151FD0" w:rsidRPr="00151FD0" w:rsidRDefault="00151FD0" w:rsidP="00151FD0">
      <w:pPr>
        <w:pStyle w:val="TAMainText"/>
      </w:pPr>
      <w:r w:rsidRPr="00151FD0">
        <w:t>The study of Tyr adsorption on nanocrystalline TiO</w:t>
      </w:r>
      <w:r w:rsidRPr="000A5353">
        <w:rPr>
          <w:vertAlign w:val="subscript"/>
        </w:rPr>
        <w:t>2</w:t>
      </w:r>
      <w:r w:rsidRPr="00151FD0">
        <w:t xml:space="preserve"> in the range of concentrations from 0.4÷2.0</w:t>
      </w:r>
      <w:r w:rsidR="00A20FA7">
        <w:t> </w:t>
      </w:r>
      <w:r w:rsidRPr="00151FD0">
        <w:t xml:space="preserve">mM did not show any detectable change in the amino acid initial concentration for all considered temperatures. Similarly, Ile and </w:t>
      </w:r>
      <w:proofErr w:type="spellStart"/>
      <w:r w:rsidRPr="00151FD0">
        <w:t>Trp</w:t>
      </w:r>
      <w:proofErr w:type="spellEnd"/>
      <w:r w:rsidRPr="00151FD0">
        <w:t xml:space="preserve"> did not adsorb on TiO</w:t>
      </w:r>
      <w:r w:rsidRPr="000A5353">
        <w:rPr>
          <w:vertAlign w:val="subscript"/>
        </w:rPr>
        <w:t>2</w:t>
      </w:r>
      <w:r w:rsidRPr="00151FD0">
        <w:t xml:space="preserve"> at 40</w:t>
      </w:r>
      <w:r w:rsidR="00A20FA7">
        <w:t> </w:t>
      </w:r>
      <w:r w:rsidRPr="00151FD0">
        <w:t>°C.</w:t>
      </w:r>
    </w:p>
    <w:p w:rsidR="00151FD0" w:rsidRPr="00151FD0" w:rsidRDefault="00151FD0" w:rsidP="00151FD0">
      <w:pPr>
        <w:pStyle w:val="TAMainText"/>
      </w:pPr>
      <w:r w:rsidRPr="00151FD0">
        <w:t>The measurements of the amino acids adsorption were data processed using the Langmuir model. Satisfactory compliance with the experimental points was observed only for the low concentrations. However, an extension of the Langmuir model on the full range of the experimental data, lead to the incorrect determination of the adsorption constant and the Gibbs energy (see Table S1).</w:t>
      </w:r>
    </w:p>
    <w:p w:rsidR="00151FD0" w:rsidRPr="00151FD0" w:rsidRDefault="00151FD0" w:rsidP="00CD6D6D">
      <w:pPr>
        <w:pStyle w:val="TAMainText"/>
      </w:pPr>
      <w:r w:rsidRPr="00151FD0">
        <w:t>Adsorption from a solution to a solid sorbent ma</w:t>
      </w:r>
      <w:r w:rsidR="000A5353">
        <w:t>y proceed in multilayered mode.</w:t>
      </w:r>
      <w:r w:rsidR="00780720">
        <w:fldChar w:fldCharType="begin" w:fldLock="1"/>
      </w:r>
      <w:r w:rsidR="00773999">
        <w:instrText>ADDIN CSL_CITATION {"citationItems":[{"id":"ITEM-1","itemData":{"DOI":"10.1002/3527602313","ISBN":"3527404139","ISSN":"00018686","PMID":"25246403","abstract":"Serving as a general introduction to surface and interface science, this book focuses on essential concepts rather than specific details, on intuitive understanding rather than learning facts. The text reflects the fact that the physics and chemistry of surfaces is a diverse field of research and shows this in its Interdisciplinary conceptual design. Once the most important techniques and methods have been introduced, readers will be able to apply simple models to their own scientific problems. Furthermore, manifold high-end technological applications from surface technology, biotechnology, or microelectronics illustrate the basic scientific treatment. The authors address advanced students of chemistry, physics, materials science, chemical engineering and related subjects with a basic knowledge of natural sciences and mathematics, since the mathematical calculations are thoroughly explained and made comprehensible for the reader. As such, non-specialists in surface science who want to learn more about this important subject will also benefit from the book.","author":[{"dropping-particle":"","family":"Butt","given":"Hans-Jürgen","non-dropping-particle":"","parse-names":false,"suffix":""},{"dropping-particle":"","family":"Graf","given":"Karlheinz","non-dropping-particle":"","parse-names":false,"suffix":""},{"dropping-particle":"","family":"Kappl","given":"Michael","non-dropping-particle":"","parse-names":false,"suffix":""}],"id":"ITEM-1","issued":{"date-parts":[["2003"]]},"number-of-pages":"1-355","title":"Physics and Chemistry of Interfaces","type":"book"},"uris":["http://www.mendeley.com/documents/?uuid=1d59a7ca-e1fb-4fdc-842d-625c8e31ac30"]}],"mendeley":{"formattedCitation":"&lt;sup&gt;36&lt;/sup&gt;","plainTextFormattedCitation":"36","previouslyFormattedCitation":"&lt;sup&gt;36&lt;/sup&gt;"},"properties":{"noteIndex":0},"schema":"https://github.com/citation-style-language/schema/raw/master/csl-citation.json"}</w:instrText>
      </w:r>
      <w:r w:rsidR="00780720">
        <w:fldChar w:fldCharType="separate"/>
      </w:r>
      <w:r w:rsidR="00780720" w:rsidRPr="00780720">
        <w:rPr>
          <w:noProof/>
          <w:vertAlign w:val="superscript"/>
        </w:rPr>
        <w:t>36</w:t>
      </w:r>
      <w:r w:rsidR="00780720">
        <w:fldChar w:fldCharType="end"/>
      </w:r>
      <w:r w:rsidRPr="00151FD0">
        <w:t xml:space="preserve"> Following this consideration</w:t>
      </w:r>
      <w:r w:rsidR="00EB242B">
        <w:t>,</w:t>
      </w:r>
      <w:r w:rsidRPr="00151FD0">
        <w:t xml:space="preserve"> we used the </w:t>
      </w:r>
      <w:proofErr w:type="spellStart"/>
      <w:r w:rsidRPr="00151FD0">
        <w:t>Brunauer</w:t>
      </w:r>
      <w:proofErr w:type="spellEnd"/>
      <w:r w:rsidRPr="00151FD0">
        <w:t xml:space="preserve">, Emmett, and Teller model (BET) which assumes a Langmuir adsorption </w:t>
      </w:r>
      <w:r w:rsidR="000A5353">
        <w:t xml:space="preserve">for each of the layers (Eq. </w:t>
      </w:r>
      <w:r w:rsidR="000A5353" w:rsidRPr="000A5353">
        <w:rPr>
          <w:i/>
        </w:rPr>
        <w:t>2</w:t>
      </w:r>
      <w:r w:rsidR="000A5353">
        <w:t>).</w:t>
      </w:r>
      <w:r w:rsidR="00780720">
        <w:fldChar w:fldCharType="begin" w:fldLock="1"/>
      </w:r>
      <w:r w:rsidR="00773999">
        <w:instrText>ADDIN CSL_CITATION {"citationItems":[{"id":"ITEM-1","itemData":{"DOI":"10.1021/ja01864a025","ISBN":"0002-7863","ISSN":"15205126","PMID":"1530","abstract":"The isotherm equation derived in a previous paper for the multimolecular van der Waals adsorption of gases has been extended to cover two additional cases: (1) when the heat of adsorption in the first layer is smaller than the heat of liquefaction, (2) when the capillaries of the adsorbent are completely filled, the heat of adsorption in the last layer is greater than the heat of liquefaction. The new equation covers all the five types of adsorption isotherms found in the literature. Comparison is made with experimental data and with the capillary condensation theory.","author":[{"dropping-particle":"","family":"Brunauer","given":"Stephen","non-dropping-particle":"","parse-names":false,"suffix":""},{"dropping-particle":"","family":"Deming","given":"Lola S.","non-dropping-particle":"","parse-names":false,"suffix":""},{"dropping-particle":"","family":"Deming","given":"W. Edwards","non-dropping-particle":"","parse-names":false,"suffix":""},{"dropping-particle":"","family":"Teller","given":"Edward","non-dropping-particle":"","parse-names":false,"suffix":""}],"container-title":"Journal of the American Chemical Society","id":"ITEM-1","issue":"7","issued":{"date-parts":[["1940"]]},"page":"1723-1732","title":"On a Theory of the van der Waals Adsorption of Gases","type":"article-journal","volume":"62"},"uris":["http://www.mendeley.com/documents/?uuid=d0a12b52-715d-4b72-9969-032e8e92859b"]}],"mendeley":{"formattedCitation":"&lt;sup&gt;37&lt;/sup&gt;","plainTextFormattedCitation":"37","previouslyFormattedCitation":"&lt;sup&gt;37&lt;/sup&gt;"},"properties":{"noteIndex":0},"schema":"https://github.com/citation-style-language/schema/raw/master/csl-citation.json"}</w:instrText>
      </w:r>
      <w:r w:rsidR="00780720">
        <w:fldChar w:fldCharType="separate"/>
      </w:r>
      <w:r w:rsidR="00780720" w:rsidRPr="00780720">
        <w:rPr>
          <w:noProof/>
          <w:vertAlign w:val="superscript"/>
        </w:rPr>
        <w:t>37</w:t>
      </w:r>
      <w:r w:rsidR="00780720">
        <w:fldChar w:fldCharType="end"/>
      </w:r>
    </w:p>
    <w:p w:rsidR="00151FD0" w:rsidRPr="00151FD0" w:rsidRDefault="0001697C" w:rsidP="00CF713F">
      <w:pPr>
        <w:pStyle w:val="TAMainText"/>
        <w:jc w:val="center"/>
      </w:pPr>
      <m:oMath>
        <m:r>
          <w:rPr>
            <w:rFonts w:ascii="Cambria Math" w:hAnsi="Cambria Math"/>
          </w:rPr>
          <w:lastRenderedPageBreak/>
          <m:t>A=</m:t>
        </m:r>
        <m:sSub>
          <m:sSubPr>
            <m:ctrlPr>
              <w:rPr>
                <w:rFonts w:ascii="Cambria Math" w:hAnsi="Cambria Math"/>
                <w:i/>
              </w:rPr>
            </m:ctrlPr>
          </m:sSubPr>
          <m:e>
            <m:r>
              <w:rPr>
                <w:rFonts w:ascii="Cambria Math" w:hAnsi="Cambria Math"/>
              </w:rPr>
              <m:t>A</m:t>
            </m:r>
          </m:e>
          <m:sub>
            <m:r>
              <w:rPr>
                <w:rFonts w:ascii="Cambria Math" w:hAnsi="Cambria Math"/>
              </w:rPr>
              <m:t>m</m:t>
            </m:r>
          </m:sub>
        </m:sSub>
        <m:f>
          <m:fPr>
            <m:ctrlPr>
              <w:rPr>
                <w:rFonts w:ascii="Cambria Math" w:hAnsi="Cambria Math"/>
                <w:i/>
              </w:rPr>
            </m:ctrlPr>
          </m:fPr>
          <m:num>
            <m:r>
              <w:rPr>
                <w:rFonts w:ascii="Cambria Math" w:hAnsi="Cambria Math"/>
              </w:rPr>
              <m:t>K</m:t>
            </m:r>
          </m:num>
          <m:den>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e>
            </m:d>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K-1</m:t>
                    </m:r>
                  </m:e>
                </m:d>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e>
            </m:d>
          </m:den>
        </m:f>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oMath>
      <w:r w:rsidR="00151FD0" w:rsidRPr="0001697C">
        <w:rPr>
          <w:i/>
        </w:rPr>
        <w:t xml:space="preserve"> </w:t>
      </w:r>
      <w:r w:rsidR="00151FD0" w:rsidRPr="00151FD0">
        <w:tab/>
      </w:r>
      <w:r w:rsidR="00151FD0" w:rsidRPr="00151FD0">
        <w:tab/>
        <w:t>(</w:t>
      </w:r>
      <w:r w:rsidR="00151FD0" w:rsidRPr="000A5353">
        <w:rPr>
          <w:i/>
        </w:rPr>
        <w:t>2</w:t>
      </w:r>
      <w:r w:rsidR="00151FD0" w:rsidRPr="00151FD0">
        <w:t>),</w:t>
      </w:r>
    </w:p>
    <w:p w:rsidR="00151FD0" w:rsidRPr="00945914" w:rsidRDefault="00151FD0" w:rsidP="00945914">
      <w:pPr>
        <w:pStyle w:val="TAMainText"/>
        <w:ind w:firstLine="0"/>
      </w:pPr>
      <w:r w:rsidRPr="00945914">
        <w:t>where А i</w:t>
      </w:r>
      <w:r w:rsidR="00265079" w:rsidRPr="00945914">
        <w:t xml:space="preserve">s </w:t>
      </w:r>
      <w:r w:rsidR="00265079" w:rsidRPr="00F20185">
        <w:t xml:space="preserve">the equilibrium adsorption, </w:t>
      </w:r>
      <w:proofErr w:type="spellStart"/>
      <w:r w:rsidR="00265079" w:rsidRPr="00F20185">
        <w:t>mmol</w:t>
      </w:r>
      <w:proofErr w:type="spellEnd"/>
      <w:r w:rsidRPr="00F20185">
        <w:t>/g; A</w:t>
      </w:r>
      <w:r w:rsidRPr="0087103F">
        <w:rPr>
          <w:vertAlign w:val="subscript"/>
        </w:rPr>
        <w:t>m</w:t>
      </w:r>
      <w:r w:rsidRPr="00F20185">
        <w:t xml:space="preserve"> is the adsorption capacity of</w:t>
      </w:r>
      <w:r w:rsidR="00265079" w:rsidRPr="00F20185">
        <w:t xml:space="preserve"> the adsorbent at saturation, </w:t>
      </w:r>
      <w:proofErr w:type="spellStart"/>
      <w:r w:rsidR="00265079" w:rsidRPr="00F20185">
        <w:t>mmol</w:t>
      </w:r>
      <w:proofErr w:type="spellEnd"/>
      <w:r w:rsidRPr="00F20185">
        <w:t>/g; К</w:t>
      </w:r>
      <w:r w:rsidRPr="00945914">
        <w:t xml:space="preserve"> is the eq</w:t>
      </w:r>
      <w:r w:rsidR="00265079" w:rsidRPr="00945914">
        <w:t>ui</w:t>
      </w:r>
      <w:r w:rsidR="00945914" w:rsidRPr="00945914">
        <w:t>librium binding constant</w:t>
      </w:r>
      <w:r w:rsidRPr="00945914">
        <w:t xml:space="preserve">; </w:t>
      </w:r>
      <w:proofErr w:type="spellStart"/>
      <w:r w:rsidRPr="00945914">
        <w:t>С</w:t>
      </w:r>
      <w:r w:rsidRPr="0020549B">
        <w:rPr>
          <w:vertAlign w:val="subscript"/>
        </w:rPr>
        <w:t>е</w:t>
      </w:r>
      <w:proofErr w:type="spellEnd"/>
      <w:r w:rsidRPr="00945914">
        <w:t xml:space="preserve"> is the equilibrium concentration of amino acid in solution after adsorption, mM; </w:t>
      </w:r>
      <w:proofErr w:type="spellStart"/>
      <w:r w:rsidRPr="00945914">
        <w:t>С</w:t>
      </w:r>
      <w:r w:rsidRPr="0020549B">
        <w:rPr>
          <w:vertAlign w:val="subscript"/>
        </w:rPr>
        <w:t>s</w:t>
      </w:r>
      <w:proofErr w:type="spellEnd"/>
      <w:r w:rsidRPr="00945914">
        <w:t xml:space="preserve"> is the limiting concentration (its solubility at a given temperature</w:t>
      </w:r>
      <w:r w:rsidR="000A5353" w:rsidRPr="00945914">
        <w:t>) of substance in solution, mM</w:t>
      </w:r>
      <w:r w:rsidR="00CF713F">
        <w:t>.</w:t>
      </w:r>
      <w:r w:rsidR="00780720">
        <w:fldChar w:fldCharType="begin" w:fldLock="1"/>
      </w:r>
      <w:r w:rsidR="00773999">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data","type":"book"},"uris":["http://www.mendeley.com/documents/?uuid=99ffaee4-5a99-4f5e-ae2c-377670258c04"]},{"id":"ITEM-2","itemData":{"DOI":"10.1002/bip.1978.360170421","ISSN":"10970282","author":[{"dropping-particle":"","family":"J. B. Dalton","given":"C. L. A. Schmidt","non-dropping-particle":"","parse-names":false,"suffix":""}],"container-title":"J. Biol. Chem.","id":"ITEM-2","issued":{"date-parts":[["1935"]]},"page":"241-248","title":"Solubilities of amino acids","type":"article-journal","volume":"109"},"uris":["http://www.mendeley.com/documents/?uuid=09177ebf-3351-4fd0-8abb-ae013f802402"]},{"id":"ITEM-3","itemData":{"DOI":"10.1080/00021369.1966.10858601","ISBN":"0002-1369","ISSN":"00021369","abstract":"The solbilities of L-basic amino acids in the type of free, monohydro-chloride and dihydrochloride in water were determined, and the results were formulated as follows. L-Arginine: logS=0.9770+0.01345t (tis from 0°-70°C) L-Histidine: logS=0.3627+0.00905t (tis from 0°-70°C) L-Arginine monohydrochloride: log S= 1. 6532+0. 0130lt (t is from 0° - 70°C) L-Lysine monohydrochloride dihydrate: log S= 1.6990+0. 01294t (t is from 0° -55°C) L-Lysine monohydrochloride monohydrate: logS= 1. 7404+0.01256t (tis from 55° - 70°C) L-Lysine dihydrochloride: log S=2. 2138+0. 00409t (t is from 0° - 70°C) L-Histidine dihydrochl9ride: log S= 1. 9085+0. 00265t (t is from 0° - 70°C) Three component systems (basic amino acid, hydrochloric acid, water) were studied and the solubilities in mixed solution system of alcohol-water were also investigated.","author":[{"dropping-particle":"","family":"Hayashi","given":"Koichi","non-dropping-particle":"","parse-names":false,"suffix":""},{"dropping-particle":"","family":"Matsuda","given":"Tadaaki","non-dropping-particle":"","parse-names":false,"suffix":""},{"dropping-particle":"","family":"Takeyama","given":"Toru","non-dropping-particle":"","parse-names":false,"suffix":""},{"dropping-particle":"","family":"Hino","given":"Tetsuo","non-dropping-particle":"","parse-names":false,"suffix":""}],"container-title":"Agricultural and Biological Chemistry","id":"ITEM-3","issue":"4","issued":{"date-parts":[["1966"]]},"page":"378-384","title":"Solubilities studies of basic amino acids","type":"article-journal","volume":"30"},"uris":["http://www.mendeley.com/documents/?uuid=0bf4f32e-d996-40a6-b689-f8e97b74ae18"]}],"mendeley":{"formattedCitation":"&lt;sup&gt;38–40&lt;/sup&gt;","plainTextFormattedCitation":"38–40","previouslyFormattedCitation":"&lt;sup&gt;38–40&lt;/sup&gt;"},"properties":{"noteIndex":0},"schema":"https://github.com/citation-style-language/schema/raw/master/csl-citation.json"}</w:instrText>
      </w:r>
      <w:r w:rsidR="00780720">
        <w:fldChar w:fldCharType="separate"/>
      </w:r>
      <w:r w:rsidR="00780720" w:rsidRPr="00780720">
        <w:rPr>
          <w:noProof/>
          <w:vertAlign w:val="superscript"/>
        </w:rPr>
        <w:t>38–40</w:t>
      </w:r>
      <w:r w:rsidR="00780720">
        <w:fldChar w:fldCharType="end"/>
      </w:r>
      <w:r w:rsidRPr="00945914">
        <w:t xml:space="preserve"> </w:t>
      </w:r>
      <w:proofErr w:type="gramStart"/>
      <w:r w:rsidRPr="00945914">
        <w:t>The</w:t>
      </w:r>
      <w:proofErr w:type="gramEnd"/>
      <w:r w:rsidRPr="00945914">
        <w:t xml:space="preserve"> calculated correlation coefficients R</w:t>
      </w:r>
      <w:r w:rsidRPr="00945914">
        <w:rPr>
          <w:vertAlign w:val="superscript"/>
        </w:rPr>
        <w:t>2</w:t>
      </w:r>
      <w:r w:rsidRPr="00945914">
        <w:t xml:space="preserve"> fall into 0.93÷0.99 range for all obtained BET model isoth</w:t>
      </w:r>
      <w:r w:rsidR="00CA4039">
        <w:t>erms (see Figure S5</w:t>
      </w:r>
      <w:r w:rsidRPr="00945914">
        <w:t>).</w:t>
      </w:r>
    </w:p>
    <w:p w:rsidR="00151FD0" w:rsidRPr="00151FD0" w:rsidRDefault="00151FD0" w:rsidP="00163A9A">
      <w:pPr>
        <w:pStyle w:val="TAMainText"/>
      </w:pPr>
      <w:r w:rsidRPr="00151FD0">
        <w:t>We used the linear form of the BET equation (</w:t>
      </w:r>
      <w:r w:rsidRPr="000A5353">
        <w:rPr>
          <w:i/>
        </w:rPr>
        <w:t>3</w:t>
      </w:r>
      <w:r w:rsidRPr="00151FD0">
        <w:t>) for identificat</w:t>
      </w:r>
      <w:r w:rsidR="00163A9A">
        <w:t>ion of the adsorption constant.</w:t>
      </w:r>
    </w:p>
    <w:p w:rsidR="00151FD0" w:rsidRPr="00151FD0" w:rsidRDefault="005656A7" w:rsidP="00CF713F">
      <w:pPr>
        <w:pStyle w:val="TAMainText"/>
        <w:jc w:val="center"/>
      </w:pPr>
      <m:oMath>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num>
          <m:den>
            <m:r>
              <w:rPr>
                <w:rFonts w:ascii="Cambria Math" w:hAnsi="Cambria Math"/>
              </w:rPr>
              <m:t>A</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e>
            </m:d>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K-1</m:t>
            </m:r>
          </m:num>
          <m:den>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K</m:t>
            </m:r>
          </m:den>
        </m:f>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oMath>
      <w:r w:rsidR="00151FD0" w:rsidRPr="00151FD0">
        <w:tab/>
      </w:r>
      <w:r w:rsidR="00151FD0" w:rsidRPr="00151FD0">
        <w:tab/>
      </w:r>
      <w:r w:rsidR="00151FD0" w:rsidRPr="00151FD0">
        <w:tab/>
        <w:t>(</w:t>
      </w:r>
      <w:r w:rsidR="00151FD0" w:rsidRPr="000A5353">
        <w:rPr>
          <w:i/>
        </w:rPr>
        <w:t>3</w:t>
      </w:r>
      <w:r w:rsidR="00163A9A">
        <w:t>)</w:t>
      </w:r>
    </w:p>
    <w:p w:rsidR="00151FD0" w:rsidRPr="00151FD0" w:rsidRDefault="00151FD0" w:rsidP="00151FD0">
      <w:pPr>
        <w:pStyle w:val="TAMainText"/>
      </w:pPr>
      <w:r w:rsidRPr="00151FD0">
        <w:t>The equilibrium binding constant and the adsorption capacity of the adsorbent at saturation (A</w:t>
      </w:r>
      <w:r w:rsidRPr="008A24E0">
        <w:rPr>
          <w:vertAlign w:val="subscript"/>
        </w:rPr>
        <w:t>m</w:t>
      </w:r>
      <w:r w:rsidR="005862FD">
        <w:t xml:space="preserve">, </w:t>
      </w:r>
      <w:proofErr w:type="spellStart"/>
      <w:r w:rsidR="005862FD" w:rsidRPr="00F20185">
        <w:t>mmol</w:t>
      </w:r>
      <w:proofErr w:type="spellEnd"/>
      <w:r w:rsidRPr="00F20185">
        <w:t>/g)</w:t>
      </w:r>
      <w:r w:rsidRPr="00151FD0">
        <w:t xml:space="preserve"> was calculated from the slope</w:t>
      </w:r>
      <w:r w:rsidRPr="00FF302B">
        <w:t xml:space="preserve"> </w:t>
      </w:r>
      <m:oMath>
        <m:r>
          <w:rPr>
            <w:rFonts w:ascii="Cambria Math" w:hAnsi="Cambria Math"/>
          </w:rPr>
          <m:t>tgα=</m:t>
        </m:r>
        <m:f>
          <m:fPr>
            <m:ctrlPr>
              <w:rPr>
                <w:rFonts w:ascii="Cambria Math" w:hAnsi="Cambria Math"/>
                <w:i/>
              </w:rPr>
            </m:ctrlPr>
          </m:fPr>
          <m:num>
            <m:r>
              <w:rPr>
                <w:rFonts w:ascii="Cambria Math" w:hAnsi="Cambria Math"/>
              </w:rPr>
              <m:t>K-1</m:t>
            </m:r>
          </m:num>
          <m:den>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K</m:t>
            </m:r>
          </m:den>
        </m:f>
      </m:oMath>
      <w:r w:rsidRPr="00151FD0">
        <w:t xml:space="preserve"> and the intersection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K</m:t>
            </m:r>
          </m:den>
        </m:f>
      </m:oMath>
      <w:r w:rsidRPr="00151FD0">
        <w:t xml:space="preserve"> at</w:t>
      </w:r>
      <w:r w:rsidRPr="00FF302B">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r>
          <w:rPr>
            <w:rFonts w:ascii="Cambria Math" w:hAnsi="Cambria Math"/>
          </w:rPr>
          <m:t>=0</m:t>
        </m:r>
      </m:oMath>
      <w:r w:rsidRPr="00151FD0">
        <w:t xml:space="preserve"> of the linear form of the BET equation in the corresponding </w:t>
      </w:r>
      <w:proofErr w:type="gramStart"/>
      <w:r w:rsidR="00163A9A">
        <w:t>coordinates</w:t>
      </w:r>
      <w:r w:rsidR="00163A9A" w:rsidRPr="00DD0F6B">
        <w:t xml:space="preserve"> </w:t>
      </w:r>
      <w:proofErr w:type="gramEnd"/>
      <m:oMath>
        <m:f>
          <m:fPr>
            <m:type m:val="lin"/>
            <m:ctrlPr>
              <w:rPr>
                <w:rFonts w:ascii="Cambria Math" w:hAnsi="Cambria Math"/>
                <w:i/>
              </w:rPr>
            </m:ctrlPr>
          </m:fPr>
          <m:num>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num>
              <m:den>
                <m:r>
                  <w:rPr>
                    <w:rFonts w:ascii="Cambria Math" w:hAnsi="Cambria Math"/>
                  </w:rPr>
                  <m:t>A</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e>
                </m:d>
              </m:den>
            </m:f>
          </m:num>
          <m:den>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den>
        </m:f>
      </m:oMath>
      <w:r w:rsidRPr="00FF302B">
        <w:t>.</w:t>
      </w:r>
    </w:p>
    <w:p w:rsidR="00151FD0" w:rsidRPr="00151FD0" w:rsidRDefault="00151FD0" w:rsidP="00395CF7">
      <w:pPr>
        <w:pStyle w:val="TAMainText"/>
      </w:pPr>
      <w:r w:rsidRPr="00151FD0">
        <w:t xml:space="preserve">The </w:t>
      </w:r>
      <w:r w:rsidRPr="00400A92">
        <w:rPr>
          <w:noProof/>
        </w:rPr>
        <w:t>Van't</w:t>
      </w:r>
      <w:r w:rsidRPr="00151FD0">
        <w:t xml:space="preserve"> Hoff equation (</w:t>
      </w:r>
      <w:r w:rsidRPr="008A24E0">
        <w:rPr>
          <w:i/>
        </w:rPr>
        <w:t>4</w:t>
      </w:r>
      <w:r w:rsidRPr="00151FD0">
        <w:t>) was used for determining the Gibbs free energy (ΔG, kJ/</w:t>
      </w:r>
      <w:proofErr w:type="spellStart"/>
      <w:r w:rsidRPr="00151FD0">
        <w:t>mol</w:t>
      </w:r>
      <w:proofErr w:type="spellEnd"/>
      <w:r w:rsidRPr="00151FD0">
        <w:t>) for each temperature (see Table S2).</w:t>
      </w:r>
    </w:p>
    <w:p w:rsidR="00151FD0" w:rsidRPr="00151FD0" w:rsidRDefault="0001697C" w:rsidP="00CF713F">
      <w:pPr>
        <w:pStyle w:val="TAMainText"/>
        <w:jc w:val="center"/>
      </w:pPr>
      <m:oMath>
        <m:r>
          <w:rPr>
            <w:rFonts w:ascii="Cambria Math" w:hAnsi="Cambria Math"/>
          </w:rPr>
          <m:t>∆G=-RT</m:t>
        </m:r>
        <m:func>
          <m:funcPr>
            <m:ctrlPr>
              <w:rPr>
                <w:rFonts w:ascii="Cambria Math" w:hAnsi="Cambria Math"/>
                <w:i/>
              </w:rPr>
            </m:ctrlPr>
          </m:funcPr>
          <m:fName>
            <m:r>
              <w:rPr>
                <w:rFonts w:ascii="Cambria Math" w:hAnsi="Cambria Math"/>
              </w:rPr>
              <m:t>ln</m:t>
            </m:r>
          </m:fName>
          <m:e>
            <m:r>
              <w:rPr>
                <w:rFonts w:ascii="Cambria Math" w:hAnsi="Cambria Math"/>
              </w:rPr>
              <m:t>K</m:t>
            </m:r>
          </m:e>
        </m:func>
      </m:oMath>
      <w:r w:rsidR="00151FD0" w:rsidRPr="00151FD0">
        <w:tab/>
      </w:r>
      <w:r w:rsidR="00151FD0" w:rsidRPr="00151FD0">
        <w:tab/>
        <w:t>(</w:t>
      </w:r>
      <w:r w:rsidR="00151FD0" w:rsidRPr="008A24E0">
        <w:rPr>
          <w:i/>
        </w:rPr>
        <w:t>4</w:t>
      </w:r>
      <w:r w:rsidR="00395CF7">
        <w:t>),</w:t>
      </w:r>
    </w:p>
    <w:p w:rsidR="00151FD0" w:rsidRDefault="00151FD0" w:rsidP="006E79D2">
      <w:pPr>
        <w:pStyle w:val="TAMainText"/>
        <w:ind w:firstLine="0"/>
      </w:pPr>
      <w:proofErr w:type="gramStart"/>
      <w:r w:rsidRPr="00151FD0">
        <w:t>where</w:t>
      </w:r>
      <w:proofErr w:type="gramEnd"/>
      <w:r w:rsidRPr="00151FD0">
        <w:t xml:space="preserve"> R is the ideal gas constant, J/</w:t>
      </w:r>
      <w:proofErr w:type="spellStart"/>
      <w:r w:rsidRPr="00151FD0">
        <w:t>mol</w:t>
      </w:r>
      <w:proofErr w:type="spellEnd"/>
      <w:r w:rsidRPr="00151FD0">
        <w:t xml:space="preserve"> K; Т is the temperature of the adsorption process, К.</w:t>
      </w:r>
    </w:p>
    <w:p w:rsidR="007B0232" w:rsidRPr="007B0232" w:rsidRDefault="007B0232" w:rsidP="00395CF7">
      <w:pPr>
        <w:pStyle w:val="TAMainText"/>
        <w:rPr>
          <w:strike/>
        </w:rPr>
      </w:pPr>
      <w:r w:rsidRPr="00F20185">
        <w:t xml:space="preserve">Plotting a graph of ΔG versus T, we determined ΔH as interception of the linear graph with the </w:t>
      </w:r>
      <w:r w:rsidRPr="00F20185">
        <w:rPr>
          <w:rFonts w:cs="Times"/>
        </w:rPr>
        <w:t>∆</w:t>
      </w:r>
      <w:r w:rsidRPr="00F20185">
        <w:t xml:space="preserve">G axis for each </w:t>
      </w:r>
      <w:r w:rsidRPr="00F20185">
        <w:rPr>
          <w:i/>
        </w:rPr>
        <w:t>L</w:t>
      </w:r>
      <w:r w:rsidRPr="00F20185">
        <w:t>-amino acid. Change in entropy for each temperature was determined from the fundamental relation (</w:t>
      </w:r>
      <w:r w:rsidRPr="00F20185">
        <w:rPr>
          <w:i/>
        </w:rPr>
        <w:t>5</w:t>
      </w:r>
      <w:r w:rsidRPr="00F20185">
        <w:t>).</w:t>
      </w:r>
    </w:p>
    <w:p w:rsidR="00151FD0" w:rsidRPr="00F20185" w:rsidRDefault="0001697C" w:rsidP="00CF713F">
      <w:pPr>
        <w:pStyle w:val="TAMainText"/>
        <w:jc w:val="center"/>
      </w:pPr>
      <m:oMath>
        <m:r>
          <w:rPr>
            <w:rFonts w:ascii="Cambria Math" w:hAnsi="Cambria Math"/>
          </w:rPr>
          <m:t>∆G=ΔH-TΔS</m:t>
        </m:r>
      </m:oMath>
      <w:r w:rsidR="00151FD0" w:rsidRPr="00F20185">
        <w:tab/>
      </w:r>
      <w:r w:rsidR="00151FD0" w:rsidRPr="00F20185">
        <w:tab/>
        <w:t>(</w:t>
      </w:r>
      <w:r w:rsidR="00151FD0" w:rsidRPr="00F20185">
        <w:rPr>
          <w:i/>
        </w:rPr>
        <w:t>5</w:t>
      </w:r>
      <w:r w:rsidR="00151FD0" w:rsidRPr="00F20185">
        <w:t>)</w:t>
      </w:r>
    </w:p>
    <w:p w:rsidR="00692A66" w:rsidRDefault="00151FD0" w:rsidP="0014582D">
      <w:pPr>
        <w:pStyle w:val="TAMainText"/>
      </w:pPr>
      <w:r w:rsidRPr="00151FD0">
        <w:t xml:space="preserve">The adsorption thermodynamic parameters of 18 amino acid calculated by the BET model, are presented in </w:t>
      </w:r>
      <w:r w:rsidRPr="008A24E0">
        <w:rPr>
          <w:b/>
        </w:rPr>
        <w:t>Table 1</w:t>
      </w:r>
      <w:r w:rsidRPr="00151FD0">
        <w:t>.</w:t>
      </w:r>
    </w:p>
    <w:p w:rsidR="00645136" w:rsidRPr="00B10181" w:rsidRDefault="00645136" w:rsidP="00645136">
      <w:pPr>
        <w:pStyle w:val="VDTableTitle"/>
      </w:pPr>
      <w:proofErr w:type="gramStart"/>
      <w:r w:rsidRPr="00645136">
        <w:rPr>
          <w:b/>
        </w:rPr>
        <w:lastRenderedPageBreak/>
        <w:t>Table 1.</w:t>
      </w:r>
      <w:proofErr w:type="gramEnd"/>
      <w:r w:rsidRPr="00645136">
        <w:t xml:space="preserve"> </w:t>
      </w:r>
      <w:proofErr w:type="gramStart"/>
      <w:r w:rsidRPr="00645136">
        <w:t>Thermodynamic parameters of the amino acids adsorption</w:t>
      </w:r>
      <w:r w:rsidRPr="00B10181">
        <w:t>.</w:t>
      </w:r>
      <w:proofErr w:type="gramEnd"/>
      <w:r w:rsidR="00EB70F9">
        <w:rPr>
          <w:rStyle w:val="af1"/>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992"/>
        <w:gridCol w:w="1985"/>
        <w:gridCol w:w="1843"/>
        <w:gridCol w:w="1417"/>
        <w:gridCol w:w="717"/>
        <w:gridCol w:w="30"/>
      </w:tblGrid>
      <w:tr w:rsidR="00645136" w:rsidRPr="00B10181" w:rsidTr="00645136">
        <w:trPr>
          <w:gridAfter w:val="1"/>
          <w:wAfter w:w="30" w:type="dxa"/>
          <w:tblHeader/>
        </w:trPr>
        <w:tc>
          <w:tcPr>
            <w:tcW w:w="1101" w:type="dxa"/>
            <w:tcBorders>
              <w:left w:val="nil"/>
              <w:bottom w:val="single" w:sz="4" w:space="0" w:color="auto"/>
              <w:right w:val="nil"/>
            </w:tcBorders>
            <w:shd w:val="clear" w:color="auto" w:fill="auto"/>
          </w:tcPr>
          <w:p w:rsidR="00645136" w:rsidRPr="00B10181" w:rsidRDefault="00645136" w:rsidP="00645136">
            <w:pPr>
              <w:pStyle w:val="TCTableBody"/>
              <w:jc w:val="center"/>
              <w:rPr>
                <w:b/>
              </w:rPr>
            </w:pPr>
            <w:r w:rsidRPr="00B10181">
              <w:rPr>
                <w:b/>
              </w:rPr>
              <w:t xml:space="preserve">Т, </w:t>
            </w:r>
            <w:r w:rsidRPr="00B10181">
              <w:rPr>
                <w:b/>
                <w:i/>
              </w:rPr>
              <w:t>К</w:t>
            </w:r>
          </w:p>
        </w:tc>
        <w:tc>
          <w:tcPr>
            <w:tcW w:w="1417" w:type="dxa"/>
            <w:tcBorders>
              <w:left w:val="nil"/>
              <w:bottom w:val="single" w:sz="4" w:space="0" w:color="auto"/>
              <w:right w:val="nil"/>
            </w:tcBorders>
            <w:shd w:val="clear" w:color="auto" w:fill="auto"/>
          </w:tcPr>
          <w:p w:rsidR="00645136" w:rsidRPr="00B10181" w:rsidRDefault="00645136" w:rsidP="00645136">
            <w:pPr>
              <w:pStyle w:val="TCTableBody"/>
              <w:jc w:val="center"/>
              <w:rPr>
                <w:b/>
              </w:rPr>
            </w:pPr>
            <w:r w:rsidRPr="00B10181">
              <w:rPr>
                <w:b/>
              </w:rPr>
              <w:t>R‒</w:t>
            </w:r>
          </w:p>
        </w:tc>
        <w:tc>
          <w:tcPr>
            <w:tcW w:w="992" w:type="dxa"/>
            <w:tcBorders>
              <w:left w:val="nil"/>
              <w:bottom w:val="single" w:sz="4" w:space="0" w:color="auto"/>
              <w:right w:val="nil"/>
            </w:tcBorders>
            <w:shd w:val="clear" w:color="auto" w:fill="auto"/>
          </w:tcPr>
          <w:p w:rsidR="00645136" w:rsidRPr="00B10181" w:rsidRDefault="00645136" w:rsidP="00645136">
            <w:pPr>
              <w:pStyle w:val="TCTableBody"/>
              <w:jc w:val="center"/>
              <w:rPr>
                <w:b/>
              </w:rPr>
            </w:pPr>
            <w:r w:rsidRPr="00B10181">
              <w:rPr>
                <w:b/>
              </w:rPr>
              <w:t>АA</w:t>
            </w:r>
          </w:p>
        </w:tc>
        <w:tc>
          <w:tcPr>
            <w:tcW w:w="1985" w:type="dxa"/>
            <w:tcBorders>
              <w:left w:val="nil"/>
              <w:bottom w:val="single" w:sz="4" w:space="0" w:color="auto"/>
              <w:right w:val="nil"/>
            </w:tcBorders>
            <w:shd w:val="clear" w:color="auto" w:fill="auto"/>
          </w:tcPr>
          <w:p w:rsidR="00645136" w:rsidRPr="00B10181" w:rsidRDefault="00645136" w:rsidP="00645136">
            <w:pPr>
              <w:pStyle w:val="TCTableBody"/>
              <w:jc w:val="center"/>
              <w:rPr>
                <w:b/>
              </w:rPr>
            </w:pPr>
            <w:r w:rsidRPr="00B10181">
              <w:rPr>
                <w:b/>
              </w:rPr>
              <w:t xml:space="preserve">ΔG, </w:t>
            </w:r>
            <w:r w:rsidRPr="00B10181">
              <w:rPr>
                <w:b/>
                <w:i/>
              </w:rPr>
              <w:t>kJ/</w:t>
            </w:r>
            <w:proofErr w:type="spellStart"/>
            <w:r w:rsidRPr="00B10181">
              <w:rPr>
                <w:b/>
                <w:i/>
              </w:rPr>
              <w:t>mol</w:t>
            </w:r>
            <w:proofErr w:type="spellEnd"/>
          </w:p>
        </w:tc>
        <w:tc>
          <w:tcPr>
            <w:tcW w:w="1843" w:type="dxa"/>
            <w:tcBorders>
              <w:left w:val="nil"/>
              <w:bottom w:val="single" w:sz="4" w:space="0" w:color="auto"/>
              <w:right w:val="nil"/>
            </w:tcBorders>
            <w:shd w:val="clear" w:color="auto" w:fill="auto"/>
            <w:vAlign w:val="center"/>
          </w:tcPr>
          <w:p w:rsidR="00645136" w:rsidRPr="00B10181" w:rsidRDefault="00645136" w:rsidP="00645136">
            <w:pPr>
              <w:pStyle w:val="TCTableBody"/>
              <w:jc w:val="center"/>
              <w:rPr>
                <w:b/>
              </w:rPr>
            </w:pPr>
            <w:r w:rsidRPr="00B10181">
              <w:rPr>
                <w:b/>
              </w:rPr>
              <w:t xml:space="preserve">ΔH, </w:t>
            </w:r>
            <w:r w:rsidRPr="00B10181">
              <w:rPr>
                <w:b/>
                <w:i/>
              </w:rPr>
              <w:t>kJ/</w:t>
            </w:r>
            <w:proofErr w:type="spellStart"/>
            <w:r w:rsidRPr="00B10181">
              <w:rPr>
                <w:b/>
                <w:i/>
              </w:rPr>
              <w:t>mol</w:t>
            </w:r>
            <w:proofErr w:type="spellEnd"/>
          </w:p>
        </w:tc>
        <w:tc>
          <w:tcPr>
            <w:tcW w:w="2134" w:type="dxa"/>
            <w:gridSpan w:val="2"/>
            <w:tcBorders>
              <w:left w:val="nil"/>
              <w:bottom w:val="single" w:sz="4" w:space="0" w:color="auto"/>
              <w:right w:val="nil"/>
            </w:tcBorders>
            <w:shd w:val="clear" w:color="auto" w:fill="auto"/>
            <w:vAlign w:val="center"/>
          </w:tcPr>
          <w:p w:rsidR="00645136" w:rsidRPr="00B10181" w:rsidRDefault="00645136" w:rsidP="00645136">
            <w:pPr>
              <w:pStyle w:val="TCTableBody"/>
              <w:jc w:val="center"/>
              <w:rPr>
                <w:b/>
              </w:rPr>
            </w:pPr>
            <w:r w:rsidRPr="00B10181">
              <w:rPr>
                <w:b/>
              </w:rPr>
              <w:t xml:space="preserve">ΔS, </w:t>
            </w:r>
            <w:r w:rsidR="00572B0E" w:rsidRPr="00B10181">
              <w:rPr>
                <w:b/>
                <w:i/>
              </w:rPr>
              <w:t>k</w:t>
            </w:r>
            <w:r w:rsidRPr="00B10181">
              <w:rPr>
                <w:b/>
                <w:i/>
              </w:rPr>
              <w:t>J/</w:t>
            </w:r>
            <w:proofErr w:type="spellStart"/>
            <w:r w:rsidRPr="00B10181">
              <w:rPr>
                <w:b/>
                <w:i/>
              </w:rPr>
              <w:t>mol</w:t>
            </w:r>
            <w:proofErr w:type="spellEnd"/>
            <w:r w:rsidRPr="00B10181">
              <w:rPr>
                <w:b/>
                <w:i/>
              </w:rPr>
              <w:t> K</w:t>
            </w:r>
          </w:p>
        </w:tc>
      </w:tr>
      <w:tr w:rsidR="00645136" w:rsidRPr="00B10181" w:rsidTr="00645136">
        <w:trPr>
          <w:gridAfter w:val="1"/>
          <w:wAfter w:w="30" w:type="dxa"/>
        </w:trPr>
        <w:tc>
          <w:tcPr>
            <w:tcW w:w="9472" w:type="dxa"/>
            <w:gridSpan w:val="7"/>
            <w:tcBorders>
              <w:left w:val="nil"/>
              <w:bottom w:val="single" w:sz="4" w:space="0" w:color="auto"/>
              <w:right w:val="nil"/>
            </w:tcBorders>
            <w:shd w:val="clear" w:color="auto" w:fill="auto"/>
          </w:tcPr>
          <w:p w:rsidR="00645136" w:rsidRPr="00B10181" w:rsidRDefault="00645136" w:rsidP="00645136">
            <w:pPr>
              <w:pStyle w:val="TCTableBody"/>
              <w:jc w:val="center"/>
              <w:rPr>
                <w:i/>
              </w:rPr>
            </w:pPr>
            <w:r w:rsidRPr="00B10181">
              <w:rPr>
                <w:i/>
              </w:rPr>
              <w:t>aliphatic АA</w:t>
            </w:r>
          </w:p>
        </w:tc>
      </w:tr>
      <w:tr w:rsidR="00572B0E" w:rsidRPr="00B10181" w:rsidTr="006877C7">
        <w:tc>
          <w:tcPr>
            <w:tcW w:w="1101" w:type="dxa"/>
            <w:tcBorders>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object w:dxaOrig="442"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0.85pt" o:ole="">
                  <v:imagedata r:id="rId14" o:title=""/>
                </v:shape>
                <o:OLEObject Type="Embed" ProgID="ChemDraw.Document.6.0" ShapeID="_x0000_i1025" DrawAspect="Content" ObjectID="_1606303020" r:id="rId15"/>
              </w:object>
            </w:r>
          </w:p>
        </w:tc>
        <w:tc>
          <w:tcPr>
            <w:tcW w:w="992"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t>Ala</w:t>
            </w:r>
          </w:p>
        </w:tc>
        <w:tc>
          <w:tcPr>
            <w:tcW w:w="1985" w:type="dxa"/>
            <w:tcBorders>
              <w:left w:val="nil"/>
              <w:bottom w:val="nil"/>
              <w:right w:val="nil"/>
            </w:tcBorders>
            <w:shd w:val="clear" w:color="auto" w:fill="auto"/>
          </w:tcPr>
          <w:p w:rsidR="00021183" w:rsidRPr="00B10181" w:rsidRDefault="00021183" w:rsidP="00021183">
            <w:pPr>
              <w:pStyle w:val="TCTableBody"/>
              <w:jc w:val="center"/>
              <w:rPr>
                <w:rFonts w:ascii="Times New Roman" w:hAnsi="Times New Roman"/>
                <w:szCs w:val="24"/>
              </w:rPr>
            </w:pPr>
            <w:r w:rsidRPr="00B10181">
              <w:rPr>
                <w:color w:val="000000"/>
              </w:rPr>
              <w:noBreakHyphen/>
              <w:t xml:space="preserve">15.5 </w:t>
            </w:r>
            <w:r w:rsidRPr="00B10181">
              <w:rPr>
                <w:rFonts w:ascii="Times New Roman" w:hAnsi="Times New Roman"/>
                <w:szCs w:val="24"/>
              </w:rPr>
              <w:t>± 0.2</w:t>
            </w:r>
          </w:p>
        </w:tc>
        <w:tc>
          <w:tcPr>
            <w:tcW w:w="1843" w:type="dxa"/>
            <w:vMerge w:val="restart"/>
            <w:tcBorders>
              <w:left w:val="nil"/>
              <w:right w:val="nil"/>
            </w:tcBorders>
            <w:shd w:val="clear" w:color="auto" w:fill="auto"/>
            <w:vAlign w:val="center"/>
          </w:tcPr>
          <w:p w:rsidR="00BB5345" w:rsidRPr="00B10181" w:rsidRDefault="00BB5345" w:rsidP="00402807">
            <w:pPr>
              <w:pStyle w:val="TCTableBody"/>
              <w:jc w:val="center"/>
            </w:pPr>
            <w:r w:rsidRPr="00B10181">
              <w:rPr>
                <w:rFonts w:ascii="Times New Roman" w:hAnsi="Times New Roman"/>
                <w:szCs w:val="24"/>
              </w:rPr>
              <w:t>13 ± 6</w:t>
            </w:r>
          </w:p>
        </w:tc>
        <w:tc>
          <w:tcPr>
            <w:tcW w:w="1417" w:type="dxa"/>
            <w:vMerge w:val="restart"/>
            <w:tcBorders>
              <w:left w:val="nil"/>
              <w:right w:val="nil"/>
            </w:tcBorders>
            <w:shd w:val="clear" w:color="auto" w:fill="auto"/>
            <w:vAlign w:val="center"/>
          </w:tcPr>
          <w:p w:rsidR="00572B0E" w:rsidRPr="00B10181" w:rsidRDefault="00572B0E" w:rsidP="00402807">
            <w:pPr>
              <w:pStyle w:val="TCTableBody"/>
              <w:jc w:val="center"/>
            </w:pPr>
            <w:r w:rsidRPr="00B10181">
              <w:rPr>
                <w:rFonts w:ascii="Times New Roman" w:hAnsi="Times New Roman"/>
                <w:szCs w:val="24"/>
              </w:rPr>
              <w:t>0.10 ± 0.0</w:t>
            </w:r>
            <w:r w:rsidR="00C036E2" w:rsidRPr="00B10181">
              <w:rPr>
                <w:rFonts w:ascii="Times New Roman" w:hAnsi="Times New Roman"/>
                <w:szCs w:val="24"/>
              </w:rPr>
              <w:t>3</w:t>
            </w:r>
          </w:p>
        </w:tc>
        <w:tc>
          <w:tcPr>
            <w:tcW w:w="747" w:type="dxa"/>
            <w:gridSpan w:val="2"/>
            <w:tcBorders>
              <w:left w:val="nil"/>
              <w:bottom w:val="nil"/>
              <w:right w:val="nil"/>
            </w:tcBorders>
            <w:shd w:val="clear" w:color="auto" w:fill="auto"/>
            <w:vAlign w:val="center"/>
          </w:tcPr>
          <w:p w:rsidR="00572B0E" w:rsidRPr="00B10181" w:rsidRDefault="00572B0E" w:rsidP="00645136">
            <w:pPr>
              <w:spacing w:after="0"/>
              <w:jc w:val="center"/>
              <w:rPr>
                <w:rFonts w:ascii="Times New Roman" w:hAnsi="Times New Roman"/>
                <w:szCs w:val="24"/>
              </w:rPr>
            </w:pPr>
          </w:p>
        </w:tc>
      </w:tr>
      <w:tr w:rsidR="00572B0E" w:rsidRPr="00B10181" w:rsidTr="006877C7">
        <w:trPr>
          <w:trHeight w:val="333"/>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572B0E" w:rsidRPr="00B10181" w:rsidRDefault="00021183" w:rsidP="006877C7">
            <w:pPr>
              <w:pStyle w:val="TCTableBody"/>
              <w:jc w:val="center"/>
              <w:rPr>
                <w:color w:val="000000"/>
              </w:rPr>
            </w:pPr>
            <w:r w:rsidRPr="00B10181">
              <w:rPr>
                <w:color w:val="000000"/>
              </w:rPr>
              <w:noBreakHyphen/>
              <w:t>16.2</w:t>
            </w:r>
            <w:r w:rsidRPr="00B10181">
              <w:rPr>
                <w:rFonts w:ascii="Times New Roman" w:hAnsi="Times New Roman"/>
                <w:szCs w:val="24"/>
              </w:rPr>
              <w:t xml:space="preserve"> ± </w:t>
            </w:r>
            <w:r w:rsidR="00BB5345" w:rsidRPr="00B10181">
              <w:rPr>
                <w:rFonts w:ascii="Times New Roman" w:hAnsi="Times New Roman"/>
                <w:szCs w:val="24"/>
              </w:rPr>
              <w:t>0.5</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572B0E">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center"/>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BB5345" w:rsidRPr="00B10181" w:rsidRDefault="00BB5345" w:rsidP="006877C7">
            <w:pPr>
              <w:pStyle w:val="TCTableBody"/>
              <w:jc w:val="center"/>
              <w:rPr>
                <w:color w:val="000000"/>
              </w:rPr>
            </w:pPr>
            <w:r w:rsidRPr="00B10181">
              <w:rPr>
                <w:color w:val="000000"/>
              </w:rPr>
              <w:noBreakHyphen/>
              <w:t>16.7</w:t>
            </w:r>
            <w:r w:rsidRPr="00B10181">
              <w:rPr>
                <w:rFonts w:ascii="Times New Roman" w:hAnsi="Times New Roman"/>
                <w:szCs w:val="24"/>
              </w:rPr>
              <w:t xml:space="preserve"> ± 0.4</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572B0E">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center"/>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BB5345" w:rsidRPr="00B10181" w:rsidRDefault="00BB5345" w:rsidP="006877C7">
            <w:pPr>
              <w:pStyle w:val="TCTableBody"/>
              <w:jc w:val="center"/>
              <w:rPr>
                <w:color w:val="000000"/>
              </w:rPr>
            </w:pPr>
            <w:r w:rsidRPr="00B10181">
              <w:rPr>
                <w:color w:val="000000"/>
              </w:rPr>
              <w:noBreakHyphen/>
              <w:t>17.9</w:t>
            </w:r>
            <w:r w:rsidRPr="00B10181">
              <w:rPr>
                <w:rFonts w:ascii="Times New Roman" w:hAnsi="Times New Roman"/>
                <w:szCs w:val="24"/>
              </w:rPr>
              <w:t xml:space="preserve"> ± 0.2</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center"/>
              <w:rPr>
                <w:rFonts w:ascii="Times New Roman" w:hAnsi="Times New Roman"/>
                <w:szCs w:val="24"/>
              </w:rPr>
            </w:pPr>
          </w:p>
        </w:tc>
      </w:tr>
      <w:tr w:rsidR="00572B0E" w:rsidRPr="00B10181" w:rsidTr="006877C7">
        <w:tc>
          <w:tcPr>
            <w:tcW w:w="1101" w:type="dxa"/>
            <w:tcBorders>
              <w:top w:val="nil"/>
              <w:left w:val="nil"/>
              <w:bottom w:val="single" w:sz="4" w:space="0" w:color="auto"/>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single" w:sz="4" w:space="0" w:color="auto"/>
              <w:right w:val="nil"/>
            </w:tcBorders>
            <w:shd w:val="clear" w:color="auto" w:fill="auto"/>
          </w:tcPr>
          <w:p w:rsidR="00572B0E" w:rsidRPr="00B10181" w:rsidRDefault="00572B0E" w:rsidP="00645136">
            <w:pPr>
              <w:pStyle w:val="TCTableBody"/>
              <w:jc w:val="center"/>
            </w:pPr>
          </w:p>
        </w:tc>
        <w:tc>
          <w:tcPr>
            <w:tcW w:w="1985" w:type="dxa"/>
            <w:tcBorders>
              <w:top w:val="nil"/>
              <w:left w:val="nil"/>
              <w:bottom w:val="single" w:sz="4" w:space="0" w:color="auto"/>
              <w:right w:val="nil"/>
            </w:tcBorders>
            <w:shd w:val="clear" w:color="auto" w:fill="auto"/>
          </w:tcPr>
          <w:p w:rsidR="00BB5345" w:rsidRPr="00B10181" w:rsidRDefault="00BB5345" w:rsidP="006877C7">
            <w:pPr>
              <w:pStyle w:val="TCTableBody"/>
              <w:jc w:val="center"/>
              <w:rPr>
                <w:color w:val="000000"/>
              </w:rPr>
            </w:pPr>
            <w:r w:rsidRPr="00B10181">
              <w:rPr>
                <w:color w:val="000000"/>
              </w:rPr>
              <w:noBreakHyphen/>
              <w:t>19.7</w:t>
            </w:r>
            <w:r w:rsidRPr="00B10181">
              <w:rPr>
                <w:rFonts w:ascii="Times New Roman" w:hAnsi="Times New Roman"/>
                <w:szCs w:val="24"/>
              </w:rPr>
              <w:t xml:space="preserve"> ± 0.6</w:t>
            </w:r>
          </w:p>
        </w:tc>
        <w:tc>
          <w:tcPr>
            <w:tcW w:w="1843"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single" w:sz="4" w:space="0" w:color="auto"/>
              <w:right w:val="nil"/>
            </w:tcBorders>
            <w:shd w:val="clear" w:color="auto" w:fill="auto"/>
            <w:vAlign w:val="center"/>
          </w:tcPr>
          <w:p w:rsidR="00572B0E" w:rsidRPr="00B10181" w:rsidRDefault="00572B0E" w:rsidP="00645136">
            <w:pPr>
              <w:spacing w:after="0"/>
              <w:jc w:val="center"/>
              <w:rPr>
                <w:rFonts w:ascii="Times New Roman" w:hAnsi="Times New Roman"/>
                <w:szCs w:val="24"/>
              </w:rPr>
            </w:pPr>
          </w:p>
        </w:tc>
      </w:tr>
      <w:tr w:rsidR="00572B0E" w:rsidRPr="00B10181" w:rsidTr="006877C7">
        <w:tc>
          <w:tcPr>
            <w:tcW w:w="1101" w:type="dxa"/>
            <w:tcBorders>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object w:dxaOrig="958" w:dyaOrig="768">
                <v:shape id="_x0000_i1026" type="#_x0000_t75" style="width:51.15pt;height:36pt" o:ole="">
                  <v:imagedata r:id="rId16" o:title=""/>
                </v:shape>
                <o:OLEObject Type="Embed" ProgID="ChemDraw.Document.6.0" ShapeID="_x0000_i1026" DrawAspect="Content" ObjectID="_1606303021" r:id="rId17"/>
              </w:object>
            </w:r>
          </w:p>
        </w:tc>
        <w:tc>
          <w:tcPr>
            <w:tcW w:w="992"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t>Val</w:t>
            </w:r>
          </w:p>
        </w:tc>
        <w:tc>
          <w:tcPr>
            <w:tcW w:w="1985" w:type="dxa"/>
            <w:tcBorders>
              <w:left w:val="nil"/>
              <w:bottom w:val="nil"/>
              <w:right w:val="nil"/>
            </w:tcBorders>
            <w:shd w:val="clear" w:color="auto" w:fill="auto"/>
          </w:tcPr>
          <w:p w:rsidR="006C1AA0" w:rsidRPr="00B10181" w:rsidRDefault="006C1AA0" w:rsidP="006877C7">
            <w:pPr>
              <w:pStyle w:val="TCTableBody"/>
              <w:jc w:val="center"/>
              <w:rPr>
                <w:color w:val="000000"/>
              </w:rPr>
            </w:pPr>
            <w:r w:rsidRPr="00B10181">
              <w:rPr>
                <w:color w:val="000000"/>
              </w:rPr>
              <w:noBreakHyphen/>
              <w:t>14.5</w:t>
            </w:r>
            <w:r w:rsidRPr="00B10181">
              <w:rPr>
                <w:rFonts w:ascii="Times New Roman" w:hAnsi="Times New Roman"/>
                <w:szCs w:val="24"/>
              </w:rPr>
              <w:t xml:space="preserve"> ± 0.2</w:t>
            </w:r>
          </w:p>
        </w:tc>
        <w:tc>
          <w:tcPr>
            <w:tcW w:w="1843" w:type="dxa"/>
            <w:vMerge w:val="restart"/>
            <w:tcBorders>
              <w:left w:val="nil"/>
              <w:right w:val="nil"/>
            </w:tcBorders>
            <w:shd w:val="clear" w:color="auto" w:fill="auto"/>
            <w:vAlign w:val="center"/>
          </w:tcPr>
          <w:p w:rsidR="00EA3364" w:rsidRPr="00B10181" w:rsidRDefault="00EA3364" w:rsidP="006F5A67">
            <w:pPr>
              <w:pStyle w:val="TCTableBody"/>
              <w:jc w:val="center"/>
            </w:pPr>
            <w:r w:rsidRPr="00B10181">
              <w:rPr>
                <w:rFonts w:ascii="Times New Roman" w:hAnsi="Times New Roman"/>
                <w:szCs w:val="24"/>
              </w:rPr>
              <w:noBreakHyphen/>
              <w:t>1</w:t>
            </w:r>
            <w:r w:rsidR="00D938B4" w:rsidRPr="00B10181">
              <w:rPr>
                <w:rFonts w:ascii="Times New Roman" w:hAnsi="Times New Roman"/>
                <w:szCs w:val="24"/>
              </w:rPr>
              <w:t>0</w:t>
            </w:r>
            <w:r w:rsidRPr="00B10181">
              <w:rPr>
                <w:rFonts w:ascii="Times New Roman" w:hAnsi="Times New Roman"/>
                <w:szCs w:val="24"/>
              </w:rPr>
              <w:t xml:space="preserve"> ± 1</w:t>
            </w:r>
            <w:r w:rsidR="00D938B4" w:rsidRPr="00B10181">
              <w:rPr>
                <w:rFonts w:ascii="Times New Roman" w:hAnsi="Times New Roman"/>
                <w:szCs w:val="24"/>
              </w:rPr>
              <w:t>0</w:t>
            </w:r>
          </w:p>
        </w:tc>
        <w:tc>
          <w:tcPr>
            <w:tcW w:w="1417" w:type="dxa"/>
            <w:vMerge w:val="restart"/>
            <w:tcBorders>
              <w:left w:val="nil"/>
              <w:right w:val="nil"/>
            </w:tcBorders>
            <w:shd w:val="clear" w:color="auto" w:fill="auto"/>
            <w:vAlign w:val="center"/>
          </w:tcPr>
          <w:p w:rsidR="00D938B4" w:rsidRPr="00B10181" w:rsidRDefault="00D938B4" w:rsidP="00402807">
            <w:pPr>
              <w:pStyle w:val="TCTableBody"/>
              <w:jc w:val="center"/>
            </w:pPr>
            <w:r w:rsidRPr="00B10181">
              <w:rPr>
                <w:rFonts w:ascii="Times New Roman" w:hAnsi="Times New Roman"/>
                <w:szCs w:val="24"/>
              </w:rPr>
              <w:t>0.00 ± 0.04</w:t>
            </w:r>
          </w:p>
        </w:tc>
        <w:tc>
          <w:tcPr>
            <w:tcW w:w="747" w:type="dxa"/>
            <w:gridSpan w:val="2"/>
            <w:tcBorders>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6C1AA0" w:rsidRPr="00B10181" w:rsidRDefault="006C1AA0" w:rsidP="006877C7">
            <w:pPr>
              <w:pStyle w:val="TCTableBody"/>
              <w:jc w:val="center"/>
              <w:rPr>
                <w:color w:val="000000"/>
              </w:rPr>
            </w:pPr>
            <w:r w:rsidRPr="00B10181">
              <w:rPr>
                <w:color w:val="000000"/>
              </w:rPr>
              <w:noBreakHyphen/>
              <w:t>15.1</w:t>
            </w:r>
            <w:r w:rsidRPr="00B10181">
              <w:rPr>
                <w:rFonts w:ascii="Times New Roman" w:hAnsi="Times New Roman"/>
                <w:szCs w:val="24"/>
              </w:rPr>
              <w:t xml:space="preserve"> ± 0.3</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572B0E">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572B0E" w:rsidRPr="00B10181" w:rsidRDefault="006C1AA0" w:rsidP="00B10181">
            <w:pPr>
              <w:pStyle w:val="TCTableBody"/>
              <w:jc w:val="center"/>
              <w:rPr>
                <w:rFonts w:ascii="Times New Roman" w:hAnsi="Times New Roman"/>
                <w:szCs w:val="24"/>
              </w:rPr>
            </w:pPr>
            <w:r w:rsidRPr="00B10181">
              <w:rPr>
                <w:color w:val="000000"/>
              </w:rPr>
              <w:noBreakHyphen/>
              <w:t>13.3</w:t>
            </w:r>
            <w:r w:rsidRPr="00B10181">
              <w:rPr>
                <w:rFonts w:ascii="Times New Roman" w:hAnsi="Times New Roman"/>
                <w:szCs w:val="24"/>
              </w:rPr>
              <w:t xml:space="preserve"> ± 0.5</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572B0E">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572B0E" w:rsidRPr="00B10181" w:rsidRDefault="006C1AA0" w:rsidP="006877C7">
            <w:pPr>
              <w:pStyle w:val="TCTableBody"/>
              <w:jc w:val="center"/>
              <w:rPr>
                <w:color w:val="000000"/>
              </w:rPr>
            </w:pPr>
            <w:r w:rsidRPr="00B10181">
              <w:rPr>
                <w:color w:val="000000"/>
              </w:rPr>
              <w:noBreakHyphen/>
              <w:t>14.1</w:t>
            </w:r>
            <w:r w:rsidRPr="00B10181">
              <w:rPr>
                <w:rFonts w:ascii="Times New Roman" w:hAnsi="Times New Roman"/>
                <w:szCs w:val="24"/>
              </w:rPr>
              <w:t xml:space="preserve"> ± 0.6</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single" w:sz="4" w:space="0" w:color="auto"/>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single" w:sz="4" w:space="0" w:color="auto"/>
              <w:right w:val="nil"/>
            </w:tcBorders>
            <w:shd w:val="clear" w:color="auto" w:fill="auto"/>
          </w:tcPr>
          <w:p w:rsidR="00572B0E" w:rsidRPr="00B10181" w:rsidRDefault="00572B0E" w:rsidP="00645136">
            <w:pPr>
              <w:pStyle w:val="TCTableBody"/>
              <w:jc w:val="center"/>
            </w:pPr>
          </w:p>
        </w:tc>
        <w:tc>
          <w:tcPr>
            <w:tcW w:w="1985" w:type="dxa"/>
            <w:tcBorders>
              <w:top w:val="nil"/>
              <w:left w:val="nil"/>
              <w:bottom w:val="single" w:sz="4" w:space="0" w:color="auto"/>
              <w:right w:val="nil"/>
            </w:tcBorders>
            <w:shd w:val="clear" w:color="auto" w:fill="auto"/>
          </w:tcPr>
          <w:p w:rsidR="00EA3364" w:rsidRPr="00B10181" w:rsidRDefault="00EA3364" w:rsidP="006877C7">
            <w:pPr>
              <w:pStyle w:val="TCTableBody"/>
              <w:jc w:val="center"/>
              <w:rPr>
                <w:color w:val="000000"/>
              </w:rPr>
            </w:pPr>
            <w:r w:rsidRPr="00B10181">
              <w:rPr>
                <w:color w:val="000000"/>
              </w:rPr>
              <w:noBreakHyphen/>
              <w:t>15.2</w:t>
            </w:r>
            <w:r w:rsidRPr="00B10181">
              <w:rPr>
                <w:rFonts w:ascii="Times New Roman" w:hAnsi="Times New Roman"/>
                <w:szCs w:val="24"/>
              </w:rPr>
              <w:t xml:space="preserve"> ± 0.4</w:t>
            </w:r>
          </w:p>
        </w:tc>
        <w:tc>
          <w:tcPr>
            <w:tcW w:w="1843"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single" w:sz="4" w:space="0" w:color="auto"/>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object w:dxaOrig="958" w:dyaOrig="1056">
                <v:shape id="_x0000_i1027" type="#_x0000_t75" style="width:51.15pt;height:51.15pt" o:ole="">
                  <v:imagedata r:id="rId18" o:title=""/>
                </v:shape>
                <o:OLEObject Type="Embed" ProgID="ChemDraw.Document.6.0" ShapeID="_x0000_i1027" DrawAspect="Content" ObjectID="_1606303022" r:id="rId19"/>
              </w:object>
            </w:r>
          </w:p>
        </w:tc>
        <w:tc>
          <w:tcPr>
            <w:tcW w:w="992"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proofErr w:type="spellStart"/>
            <w:r w:rsidRPr="00B10181">
              <w:t>Leu</w:t>
            </w:r>
            <w:proofErr w:type="spellEnd"/>
          </w:p>
        </w:tc>
        <w:tc>
          <w:tcPr>
            <w:tcW w:w="1985" w:type="dxa"/>
            <w:tcBorders>
              <w:left w:val="nil"/>
              <w:bottom w:val="nil"/>
              <w:right w:val="nil"/>
            </w:tcBorders>
            <w:shd w:val="clear" w:color="auto" w:fill="auto"/>
          </w:tcPr>
          <w:p w:rsidR="00BA6762" w:rsidRPr="00B10181" w:rsidRDefault="00BA6762" w:rsidP="00BA6762">
            <w:pPr>
              <w:pStyle w:val="TCTableBody"/>
              <w:jc w:val="center"/>
              <w:rPr>
                <w:rFonts w:ascii="Times New Roman" w:hAnsi="Times New Roman"/>
                <w:szCs w:val="24"/>
              </w:rPr>
            </w:pPr>
            <w:r w:rsidRPr="00B10181">
              <w:rPr>
                <w:color w:val="000000"/>
              </w:rPr>
              <w:noBreakHyphen/>
              <w:t>7.9</w:t>
            </w:r>
            <w:r w:rsidRPr="00B10181">
              <w:rPr>
                <w:rFonts w:ascii="Times New Roman" w:hAnsi="Times New Roman"/>
                <w:szCs w:val="24"/>
              </w:rPr>
              <w:t xml:space="preserve"> ± 0.3</w:t>
            </w:r>
          </w:p>
        </w:tc>
        <w:tc>
          <w:tcPr>
            <w:tcW w:w="1843" w:type="dxa"/>
            <w:vMerge w:val="restart"/>
            <w:tcBorders>
              <w:left w:val="nil"/>
              <w:right w:val="nil"/>
            </w:tcBorders>
            <w:shd w:val="clear" w:color="auto" w:fill="auto"/>
            <w:vAlign w:val="center"/>
          </w:tcPr>
          <w:p w:rsidR="00BA6762" w:rsidRPr="00B10181" w:rsidRDefault="00BA6762" w:rsidP="006F5A67">
            <w:pPr>
              <w:pStyle w:val="TCTableBody"/>
              <w:jc w:val="center"/>
            </w:pPr>
            <w:r w:rsidRPr="00B10181">
              <w:rPr>
                <w:rFonts w:ascii="Times New Roman" w:hAnsi="Times New Roman"/>
                <w:szCs w:val="24"/>
              </w:rPr>
              <w:t>0 ± 10</w:t>
            </w:r>
          </w:p>
        </w:tc>
        <w:tc>
          <w:tcPr>
            <w:tcW w:w="1417" w:type="dxa"/>
            <w:vMerge w:val="restart"/>
            <w:tcBorders>
              <w:left w:val="nil"/>
              <w:right w:val="nil"/>
            </w:tcBorders>
            <w:shd w:val="clear" w:color="auto" w:fill="auto"/>
            <w:vAlign w:val="center"/>
          </w:tcPr>
          <w:p w:rsidR="00BA6762" w:rsidRPr="00B10181" w:rsidRDefault="00BA6762" w:rsidP="00402807">
            <w:pPr>
              <w:pStyle w:val="TCTableBody"/>
              <w:jc w:val="center"/>
            </w:pPr>
            <w:r w:rsidRPr="00B10181">
              <w:rPr>
                <w:rFonts w:ascii="Times New Roman" w:hAnsi="Times New Roman"/>
                <w:szCs w:val="24"/>
              </w:rPr>
              <w:t>0.05 ± 0.03</w:t>
            </w:r>
          </w:p>
        </w:tc>
        <w:tc>
          <w:tcPr>
            <w:tcW w:w="747" w:type="dxa"/>
            <w:gridSpan w:val="2"/>
            <w:tcBorders>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572B0E" w:rsidRPr="00B10181" w:rsidRDefault="00BA6762" w:rsidP="006877C7">
            <w:pPr>
              <w:pStyle w:val="TCTableBody"/>
              <w:jc w:val="center"/>
              <w:rPr>
                <w:color w:val="000000"/>
              </w:rPr>
            </w:pPr>
            <w:r w:rsidRPr="00B10181">
              <w:rPr>
                <w:color w:val="000000"/>
              </w:rPr>
              <w:noBreakHyphen/>
              <w:t>9.8</w:t>
            </w:r>
            <w:r w:rsidRPr="00B10181">
              <w:rPr>
                <w:rFonts w:ascii="Times New Roman" w:hAnsi="Times New Roman"/>
                <w:szCs w:val="24"/>
              </w:rPr>
              <w:t xml:space="preserve"> ± 0.4</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572B0E">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572B0E" w:rsidRPr="00B10181" w:rsidRDefault="00BA6762" w:rsidP="006877C7">
            <w:pPr>
              <w:pStyle w:val="TCTableBody"/>
              <w:jc w:val="center"/>
              <w:rPr>
                <w:color w:val="000000"/>
              </w:rPr>
            </w:pPr>
            <w:r w:rsidRPr="00B10181">
              <w:rPr>
                <w:color w:val="000000"/>
              </w:rPr>
              <w:noBreakHyphen/>
              <w:t>8.8</w:t>
            </w:r>
            <w:r w:rsidRPr="00B10181">
              <w:rPr>
                <w:rFonts w:ascii="Times New Roman" w:hAnsi="Times New Roman"/>
                <w:szCs w:val="24"/>
              </w:rPr>
              <w:t xml:space="preserve"> ± 0.4</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572B0E">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572B0E" w:rsidRPr="00B10181" w:rsidRDefault="00BA6762" w:rsidP="006877C7">
            <w:pPr>
              <w:pStyle w:val="TCTableBody"/>
              <w:jc w:val="center"/>
              <w:rPr>
                <w:color w:val="000000"/>
              </w:rPr>
            </w:pPr>
            <w:r w:rsidRPr="00B10181">
              <w:rPr>
                <w:color w:val="000000"/>
              </w:rPr>
              <w:noBreakHyphen/>
              <w:t>10.3</w:t>
            </w:r>
            <w:r w:rsidRPr="00B10181">
              <w:rPr>
                <w:rFonts w:ascii="Times New Roman" w:hAnsi="Times New Roman"/>
                <w:szCs w:val="24"/>
              </w:rPr>
              <w:t xml:space="preserve"> ± 0.3</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single" w:sz="4" w:space="0" w:color="auto"/>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single" w:sz="4" w:space="0" w:color="auto"/>
              <w:right w:val="nil"/>
            </w:tcBorders>
            <w:shd w:val="clear" w:color="auto" w:fill="auto"/>
          </w:tcPr>
          <w:p w:rsidR="00572B0E" w:rsidRPr="00B10181" w:rsidRDefault="00572B0E" w:rsidP="00645136">
            <w:pPr>
              <w:pStyle w:val="TCTableBody"/>
              <w:jc w:val="center"/>
            </w:pPr>
          </w:p>
        </w:tc>
        <w:tc>
          <w:tcPr>
            <w:tcW w:w="1985" w:type="dxa"/>
            <w:tcBorders>
              <w:top w:val="nil"/>
              <w:left w:val="nil"/>
              <w:bottom w:val="single" w:sz="4" w:space="0" w:color="auto"/>
              <w:right w:val="nil"/>
            </w:tcBorders>
            <w:shd w:val="clear" w:color="auto" w:fill="auto"/>
          </w:tcPr>
          <w:p w:rsidR="00572B0E" w:rsidRPr="00B10181" w:rsidRDefault="00BA6762" w:rsidP="006877C7">
            <w:pPr>
              <w:pStyle w:val="TCTableBody"/>
              <w:jc w:val="center"/>
              <w:rPr>
                <w:color w:val="000000"/>
              </w:rPr>
            </w:pPr>
            <w:r w:rsidRPr="00B10181">
              <w:rPr>
                <w:color w:val="000000"/>
              </w:rPr>
              <w:noBreakHyphen/>
              <w:t>10.0</w:t>
            </w:r>
            <w:r w:rsidRPr="00B10181">
              <w:rPr>
                <w:rFonts w:ascii="Times New Roman" w:hAnsi="Times New Roman"/>
                <w:szCs w:val="24"/>
              </w:rPr>
              <w:t xml:space="preserve"> ± 0.2</w:t>
            </w:r>
          </w:p>
        </w:tc>
        <w:tc>
          <w:tcPr>
            <w:tcW w:w="1843"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single" w:sz="4" w:space="0" w:color="auto"/>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object w:dxaOrig="1018" w:dyaOrig="1056">
                <v:shape id="_x0000_i1028" type="#_x0000_t75" style="width:51.15pt;height:51.15pt" o:ole="">
                  <v:imagedata r:id="rId20" o:title=""/>
                </v:shape>
                <o:OLEObject Type="Embed" ProgID="ChemDraw.Document.6.0" ShapeID="_x0000_i1028" DrawAspect="Content" ObjectID="_1606303023" r:id="rId21"/>
              </w:object>
            </w:r>
          </w:p>
        </w:tc>
        <w:tc>
          <w:tcPr>
            <w:tcW w:w="992"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t>Ile</w:t>
            </w:r>
          </w:p>
        </w:tc>
        <w:tc>
          <w:tcPr>
            <w:tcW w:w="1985" w:type="dxa"/>
            <w:tcBorders>
              <w:left w:val="nil"/>
              <w:bottom w:val="nil"/>
              <w:right w:val="nil"/>
            </w:tcBorders>
            <w:shd w:val="clear" w:color="auto" w:fill="auto"/>
          </w:tcPr>
          <w:p w:rsidR="00BA6762" w:rsidRPr="00B10181" w:rsidRDefault="00BA6762" w:rsidP="006877C7">
            <w:pPr>
              <w:pStyle w:val="TCTableBody"/>
              <w:jc w:val="center"/>
              <w:rPr>
                <w:color w:val="000000"/>
              </w:rPr>
            </w:pPr>
            <w:r w:rsidRPr="00B10181">
              <w:rPr>
                <w:color w:val="000000"/>
              </w:rPr>
              <w:noBreakHyphen/>
              <w:t>11.4</w:t>
            </w:r>
            <w:r w:rsidRPr="00B10181">
              <w:rPr>
                <w:rFonts w:ascii="Times New Roman" w:hAnsi="Times New Roman"/>
                <w:szCs w:val="24"/>
              </w:rPr>
              <w:t xml:space="preserve"> ± 0.4</w:t>
            </w:r>
          </w:p>
        </w:tc>
        <w:tc>
          <w:tcPr>
            <w:tcW w:w="1843" w:type="dxa"/>
            <w:vMerge w:val="restart"/>
            <w:tcBorders>
              <w:left w:val="nil"/>
              <w:right w:val="nil"/>
            </w:tcBorders>
            <w:shd w:val="clear" w:color="auto" w:fill="auto"/>
            <w:vAlign w:val="center"/>
          </w:tcPr>
          <w:p w:rsidR="00BD47D0" w:rsidRPr="00B10181" w:rsidRDefault="00BD47D0" w:rsidP="006F5A67">
            <w:pPr>
              <w:pStyle w:val="TCTableBody"/>
              <w:jc w:val="center"/>
            </w:pPr>
            <w:r w:rsidRPr="00B10181">
              <w:rPr>
                <w:rFonts w:ascii="Times New Roman" w:hAnsi="Times New Roman"/>
                <w:szCs w:val="24"/>
              </w:rPr>
              <w:t>10 ± 20</w:t>
            </w:r>
          </w:p>
        </w:tc>
        <w:tc>
          <w:tcPr>
            <w:tcW w:w="1417" w:type="dxa"/>
            <w:vMerge w:val="restart"/>
            <w:tcBorders>
              <w:left w:val="nil"/>
              <w:right w:val="nil"/>
            </w:tcBorders>
            <w:shd w:val="clear" w:color="auto" w:fill="auto"/>
            <w:vAlign w:val="center"/>
          </w:tcPr>
          <w:p w:rsidR="00BD47D0" w:rsidRPr="00B10181" w:rsidRDefault="00BD47D0" w:rsidP="00402807">
            <w:pPr>
              <w:pStyle w:val="TCTableBody"/>
              <w:jc w:val="center"/>
            </w:pPr>
            <w:r w:rsidRPr="00B10181">
              <w:rPr>
                <w:rFonts w:ascii="Times New Roman" w:hAnsi="Times New Roman"/>
                <w:szCs w:val="24"/>
              </w:rPr>
              <w:t>0.06 ± 0.07</w:t>
            </w:r>
          </w:p>
        </w:tc>
        <w:tc>
          <w:tcPr>
            <w:tcW w:w="717" w:type="dxa"/>
            <w:tcBorders>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BA6762" w:rsidRPr="00B10181" w:rsidRDefault="00BA6762" w:rsidP="006877C7">
            <w:pPr>
              <w:pStyle w:val="TCTableBody"/>
              <w:jc w:val="center"/>
              <w:rPr>
                <w:color w:val="000000"/>
              </w:rPr>
            </w:pPr>
            <w:r w:rsidRPr="00B10181">
              <w:rPr>
                <w:color w:val="000000"/>
              </w:rPr>
              <w:noBreakHyphen/>
              <w:t>10.0</w:t>
            </w:r>
            <w:r w:rsidRPr="00B10181">
              <w:rPr>
                <w:rFonts w:ascii="Times New Roman" w:hAnsi="Times New Roman"/>
                <w:szCs w:val="24"/>
              </w:rPr>
              <w:t xml:space="preserve"> ± 0.2</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572B0E">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BA6762" w:rsidRPr="00B10181" w:rsidRDefault="00BA6762" w:rsidP="006877C7">
            <w:pPr>
              <w:pStyle w:val="TCTableBody"/>
              <w:jc w:val="center"/>
              <w:rPr>
                <w:color w:val="000000"/>
              </w:rPr>
            </w:pPr>
            <w:r w:rsidRPr="00B10181">
              <w:rPr>
                <w:color w:val="000000"/>
              </w:rPr>
              <w:noBreakHyphen/>
              <w:t>11.6</w:t>
            </w:r>
            <w:r w:rsidRPr="00B10181">
              <w:rPr>
                <w:rFonts w:ascii="Times New Roman" w:hAnsi="Times New Roman"/>
                <w:szCs w:val="24"/>
              </w:rPr>
              <w:t xml:space="preserve"> ± 0.2</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572B0E">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BD47D0" w:rsidRPr="00B10181" w:rsidRDefault="00BD47D0" w:rsidP="006877C7">
            <w:pPr>
              <w:pStyle w:val="TCTableBody"/>
              <w:jc w:val="center"/>
              <w:rPr>
                <w:color w:val="000000"/>
              </w:rPr>
            </w:pPr>
            <w:r w:rsidRPr="00B10181">
              <w:rPr>
                <w:color w:val="000000"/>
              </w:rPr>
              <w:noBreakHyphen/>
              <w:t>12.8</w:t>
            </w:r>
            <w:r w:rsidRPr="00B10181">
              <w:rPr>
                <w:rFonts w:ascii="Times New Roman" w:hAnsi="Times New Roman"/>
                <w:szCs w:val="24"/>
              </w:rPr>
              <w:t xml:space="preserve"> ± 0.2</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top w:val="nil"/>
              <w:left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right w:val="nil"/>
            </w:tcBorders>
            <w:shd w:val="clear" w:color="auto" w:fill="auto"/>
          </w:tcPr>
          <w:p w:rsidR="00572B0E" w:rsidRPr="00B10181" w:rsidRDefault="00572B0E" w:rsidP="00645136">
            <w:pPr>
              <w:pStyle w:val="TCTableBody"/>
              <w:jc w:val="center"/>
            </w:pPr>
          </w:p>
        </w:tc>
        <w:tc>
          <w:tcPr>
            <w:tcW w:w="1985" w:type="dxa"/>
            <w:tcBorders>
              <w:top w:val="nil"/>
              <w:left w:val="nil"/>
              <w:right w:val="nil"/>
            </w:tcBorders>
            <w:shd w:val="clear" w:color="auto" w:fill="auto"/>
            <w:vAlign w:val="center"/>
          </w:tcPr>
          <w:p w:rsidR="00572B0E" w:rsidRPr="00B10181" w:rsidRDefault="00572B0E" w:rsidP="006877C7">
            <w:pPr>
              <w:jc w:val="center"/>
              <w:rPr>
                <w:rFonts w:ascii="Times New Roman" w:hAnsi="Times New Roman"/>
                <w:szCs w:val="24"/>
              </w:rPr>
            </w:pPr>
            <w:r w:rsidRPr="00B10181">
              <w:rPr>
                <w:rFonts w:ascii="Times New Roman" w:hAnsi="Times New Roman"/>
                <w:szCs w:val="24"/>
              </w:rPr>
              <w:t>-</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right w:val="nil"/>
            </w:tcBorders>
            <w:shd w:val="clear" w:color="auto" w:fill="auto"/>
            <w:vAlign w:val="center"/>
          </w:tcPr>
          <w:p w:rsidR="00572B0E" w:rsidRPr="00B10181" w:rsidRDefault="00572B0E" w:rsidP="00572B0E">
            <w:pPr>
              <w:pStyle w:val="TCTableBody"/>
              <w:jc w:val="right"/>
            </w:pPr>
          </w:p>
        </w:tc>
      </w:tr>
      <w:tr w:rsidR="00645136" w:rsidRPr="00B10181" w:rsidTr="00645136">
        <w:trPr>
          <w:gridAfter w:val="1"/>
          <w:wAfter w:w="30" w:type="dxa"/>
        </w:trPr>
        <w:tc>
          <w:tcPr>
            <w:tcW w:w="9472" w:type="dxa"/>
            <w:gridSpan w:val="7"/>
            <w:tcBorders>
              <w:left w:val="nil"/>
              <w:right w:val="nil"/>
            </w:tcBorders>
            <w:shd w:val="clear" w:color="auto" w:fill="auto"/>
            <w:vAlign w:val="center"/>
          </w:tcPr>
          <w:p w:rsidR="00645136" w:rsidRPr="00B10181" w:rsidRDefault="00645136" w:rsidP="00645136">
            <w:pPr>
              <w:pStyle w:val="TCTableBody"/>
              <w:jc w:val="center"/>
            </w:pPr>
            <w:r w:rsidRPr="00B10181">
              <w:rPr>
                <w:i/>
              </w:rPr>
              <w:lastRenderedPageBreak/>
              <w:t>aromatic АA</w:t>
            </w:r>
          </w:p>
        </w:tc>
      </w:tr>
      <w:tr w:rsidR="00572B0E" w:rsidRPr="00B10181" w:rsidTr="006877C7">
        <w:trPr>
          <w:gridAfter w:val="1"/>
          <w:wAfter w:w="30" w:type="dxa"/>
        </w:trPr>
        <w:tc>
          <w:tcPr>
            <w:tcW w:w="1101" w:type="dxa"/>
            <w:tcBorders>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object w:dxaOrig="967" w:dyaOrig="1169">
                <v:shape id="_x0000_i1029" type="#_x0000_t75" style="width:51.15pt;height:58.75pt" o:ole="">
                  <v:imagedata r:id="rId22" o:title=""/>
                </v:shape>
                <o:OLEObject Type="Embed" ProgID="ChemDraw.Document.6.0" ShapeID="_x0000_i1029" DrawAspect="Content" ObjectID="_1606303024" r:id="rId23"/>
              </w:object>
            </w:r>
          </w:p>
        </w:tc>
        <w:tc>
          <w:tcPr>
            <w:tcW w:w="992"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t>His</w:t>
            </w:r>
          </w:p>
        </w:tc>
        <w:tc>
          <w:tcPr>
            <w:tcW w:w="1985" w:type="dxa"/>
            <w:tcBorders>
              <w:left w:val="nil"/>
              <w:bottom w:val="nil"/>
              <w:right w:val="nil"/>
            </w:tcBorders>
            <w:shd w:val="clear" w:color="auto" w:fill="auto"/>
          </w:tcPr>
          <w:p w:rsidR="00A57656" w:rsidRPr="00B10181" w:rsidRDefault="00A57656" w:rsidP="006877C7">
            <w:pPr>
              <w:pStyle w:val="TCTableBody"/>
              <w:jc w:val="center"/>
              <w:rPr>
                <w:color w:val="000000"/>
              </w:rPr>
            </w:pPr>
            <w:r w:rsidRPr="00B10181">
              <w:rPr>
                <w:color w:val="000000"/>
              </w:rPr>
              <w:noBreakHyphen/>
              <w:t>4.0</w:t>
            </w:r>
            <w:r w:rsidRPr="00B10181">
              <w:rPr>
                <w:rFonts w:ascii="Times New Roman" w:hAnsi="Times New Roman"/>
                <w:szCs w:val="24"/>
              </w:rPr>
              <w:t xml:space="preserve"> ± 0.3</w:t>
            </w:r>
          </w:p>
        </w:tc>
        <w:tc>
          <w:tcPr>
            <w:tcW w:w="1843" w:type="dxa"/>
            <w:vMerge w:val="restart"/>
            <w:tcBorders>
              <w:left w:val="nil"/>
              <w:right w:val="nil"/>
            </w:tcBorders>
            <w:shd w:val="clear" w:color="auto" w:fill="auto"/>
            <w:vAlign w:val="center"/>
          </w:tcPr>
          <w:p w:rsidR="00A57656" w:rsidRPr="00B10181" w:rsidRDefault="00A57656" w:rsidP="006F5A67">
            <w:pPr>
              <w:pStyle w:val="TCTableBody"/>
              <w:jc w:val="center"/>
            </w:pPr>
            <w:r w:rsidRPr="00B10181">
              <w:rPr>
                <w:rFonts w:ascii="Times New Roman" w:hAnsi="Times New Roman"/>
                <w:szCs w:val="24"/>
              </w:rPr>
              <w:t>49 ± 9</w:t>
            </w:r>
          </w:p>
        </w:tc>
        <w:tc>
          <w:tcPr>
            <w:tcW w:w="1417" w:type="dxa"/>
            <w:vMerge w:val="restart"/>
            <w:tcBorders>
              <w:left w:val="nil"/>
              <w:right w:val="nil"/>
            </w:tcBorders>
            <w:shd w:val="clear" w:color="auto" w:fill="auto"/>
            <w:vAlign w:val="center"/>
          </w:tcPr>
          <w:p w:rsidR="00A57656" w:rsidRPr="00B10181" w:rsidRDefault="00A57656" w:rsidP="00402807">
            <w:pPr>
              <w:pStyle w:val="TCTableBody"/>
              <w:jc w:val="center"/>
            </w:pPr>
            <w:r w:rsidRPr="00B10181">
              <w:rPr>
                <w:rFonts w:ascii="Times New Roman" w:hAnsi="Times New Roman"/>
                <w:szCs w:val="24"/>
              </w:rPr>
              <w:t>0.19 ± 0.03</w:t>
            </w:r>
          </w:p>
        </w:tc>
        <w:tc>
          <w:tcPr>
            <w:tcW w:w="717" w:type="dxa"/>
            <w:tcBorders>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A57656" w:rsidRPr="00B10181" w:rsidRDefault="00A57656" w:rsidP="006877C7">
            <w:pPr>
              <w:pStyle w:val="TCTableBody"/>
              <w:jc w:val="center"/>
              <w:rPr>
                <w:color w:val="000000"/>
              </w:rPr>
            </w:pPr>
            <w:r w:rsidRPr="00B10181">
              <w:rPr>
                <w:color w:val="000000"/>
              </w:rPr>
              <w:noBreakHyphen/>
              <w:t>6.0</w:t>
            </w:r>
            <w:r w:rsidRPr="00B10181">
              <w:rPr>
                <w:rFonts w:ascii="Times New Roman" w:hAnsi="Times New Roman"/>
                <w:szCs w:val="24"/>
              </w:rPr>
              <w:t xml:space="preserve"> ± 0.3</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A57656" w:rsidRPr="00B10181" w:rsidRDefault="00A57656" w:rsidP="006877C7">
            <w:pPr>
              <w:pStyle w:val="TCTableBody"/>
              <w:jc w:val="center"/>
              <w:rPr>
                <w:color w:val="000000"/>
              </w:rPr>
            </w:pPr>
            <w:r w:rsidRPr="00B10181">
              <w:rPr>
                <w:color w:val="000000"/>
              </w:rPr>
              <w:noBreakHyphen/>
              <w:t>9.0</w:t>
            </w:r>
            <w:r w:rsidRPr="00B10181">
              <w:rPr>
                <w:rFonts w:ascii="Times New Roman" w:hAnsi="Times New Roman"/>
                <w:szCs w:val="24"/>
              </w:rPr>
              <w:t xml:space="preserve"> ± 0.2</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572B0E">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A57656" w:rsidRPr="00B10181" w:rsidRDefault="00A57656" w:rsidP="006877C7">
            <w:pPr>
              <w:pStyle w:val="TCTableBody"/>
              <w:jc w:val="center"/>
              <w:rPr>
                <w:color w:val="000000"/>
              </w:rPr>
            </w:pPr>
            <w:r w:rsidRPr="00B10181">
              <w:rPr>
                <w:color w:val="000000"/>
              </w:rPr>
              <w:noBreakHyphen/>
              <w:t>9.4</w:t>
            </w:r>
            <w:r w:rsidRPr="00B10181">
              <w:rPr>
                <w:rFonts w:ascii="Times New Roman" w:hAnsi="Times New Roman"/>
                <w:szCs w:val="24"/>
              </w:rPr>
              <w:t xml:space="preserve"> ± 0.3</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single" w:sz="4" w:space="0" w:color="auto"/>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single" w:sz="4" w:space="0" w:color="auto"/>
              <w:right w:val="nil"/>
            </w:tcBorders>
            <w:shd w:val="clear" w:color="auto" w:fill="auto"/>
          </w:tcPr>
          <w:p w:rsidR="00572B0E" w:rsidRPr="00B10181" w:rsidRDefault="00572B0E" w:rsidP="00645136">
            <w:pPr>
              <w:pStyle w:val="TCTableBody"/>
              <w:jc w:val="center"/>
            </w:pPr>
          </w:p>
        </w:tc>
        <w:tc>
          <w:tcPr>
            <w:tcW w:w="1985" w:type="dxa"/>
            <w:tcBorders>
              <w:top w:val="nil"/>
              <w:left w:val="nil"/>
              <w:bottom w:val="single" w:sz="4" w:space="0" w:color="auto"/>
              <w:right w:val="nil"/>
            </w:tcBorders>
            <w:shd w:val="clear" w:color="auto" w:fill="auto"/>
          </w:tcPr>
          <w:p w:rsidR="00A57656" w:rsidRPr="00B10181" w:rsidRDefault="00A57656" w:rsidP="006877C7">
            <w:pPr>
              <w:pStyle w:val="TCTableBody"/>
              <w:jc w:val="center"/>
              <w:rPr>
                <w:color w:val="000000"/>
              </w:rPr>
            </w:pPr>
            <w:r w:rsidRPr="00B10181">
              <w:rPr>
                <w:color w:val="000000"/>
              </w:rPr>
              <w:noBreakHyphen/>
              <w:t>11.9</w:t>
            </w:r>
            <w:r w:rsidRPr="00B10181">
              <w:rPr>
                <w:rFonts w:ascii="Times New Roman" w:hAnsi="Times New Roman"/>
                <w:szCs w:val="24"/>
              </w:rPr>
              <w:t xml:space="preserve"> ± 0.3</w:t>
            </w:r>
          </w:p>
        </w:tc>
        <w:tc>
          <w:tcPr>
            <w:tcW w:w="1843"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single" w:sz="4" w:space="0" w:color="auto"/>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single" w:sz="4" w:space="0" w:color="auto"/>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top w:val="single" w:sz="4" w:space="0" w:color="auto"/>
              <w:left w:val="nil"/>
              <w:bottom w:val="nil"/>
              <w:right w:val="nil"/>
            </w:tcBorders>
            <w:shd w:val="clear" w:color="auto" w:fill="auto"/>
            <w:vAlign w:val="center"/>
          </w:tcPr>
          <w:p w:rsidR="00572B0E" w:rsidRPr="00B10181" w:rsidRDefault="00572B0E" w:rsidP="00645136">
            <w:pPr>
              <w:pStyle w:val="TCTableBody"/>
              <w:jc w:val="center"/>
            </w:pPr>
            <w:r w:rsidRPr="00B10181">
              <w:object w:dxaOrig="624" w:dyaOrig="1226">
                <v:shape id="_x0000_i1030" type="#_x0000_t75" style="width:28.4pt;height:56.85pt" o:ole="">
                  <v:imagedata r:id="rId24" o:title=""/>
                </v:shape>
                <o:OLEObject Type="Embed" ProgID="ChemDraw.Document.6.0" ShapeID="_x0000_i1030" DrawAspect="Content" ObjectID="_1606303025" r:id="rId25"/>
              </w:object>
            </w:r>
          </w:p>
        </w:tc>
        <w:tc>
          <w:tcPr>
            <w:tcW w:w="992" w:type="dxa"/>
            <w:vMerge w:val="restart"/>
            <w:tcBorders>
              <w:top w:val="single" w:sz="4" w:space="0" w:color="auto"/>
              <w:left w:val="nil"/>
              <w:bottom w:val="nil"/>
              <w:right w:val="nil"/>
            </w:tcBorders>
            <w:shd w:val="clear" w:color="auto" w:fill="auto"/>
            <w:vAlign w:val="center"/>
          </w:tcPr>
          <w:p w:rsidR="00572B0E" w:rsidRPr="00B10181" w:rsidRDefault="00572B0E" w:rsidP="00645136">
            <w:pPr>
              <w:pStyle w:val="TCTableBody"/>
              <w:jc w:val="center"/>
            </w:pPr>
            <w:proofErr w:type="spellStart"/>
            <w:r w:rsidRPr="00B10181">
              <w:t>Phe</w:t>
            </w:r>
            <w:proofErr w:type="spellEnd"/>
          </w:p>
        </w:tc>
        <w:tc>
          <w:tcPr>
            <w:tcW w:w="1985" w:type="dxa"/>
            <w:tcBorders>
              <w:top w:val="single" w:sz="4" w:space="0" w:color="auto"/>
              <w:left w:val="nil"/>
              <w:bottom w:val="nil"/>
              <w:right w:val="nil"/>
            </w:tcBorders>
            <w:shd w:val="clear" w:color="auto" w:fill="auto"/>
          </w:tcPr>
          <w:p w:rsidR="00E03891" w:rsidRPr="00B10181" w:rsidRDefault="00E03891" w:rsidP="006877C7">
            <w:pPr>
              <w:pStyle w:val="TCTableBody"/>
              <w:jc w:val="center"/>
              <w:rPr>
                <w:color w:val="000000"/>
              </w:rPr>
            </w:pPr>
            <w:r w:rsidRPr="00B10181">
              <w:rPr>
                <w:color w:val="000000"/>
              </w:rPr>
              <w:noBreakHyphen/>
              <w:t>8.5</w:t>
            </w:r>
            <w:r w:rsidRPr="00B10181">
              <w:rPr>
                <w:rFonts w:ascii="Times New Roman" w:hAnsi="Times New Roman"/>
                <w:szCs w:val="24"/>
              </w:rPr>
              <w:t xml:space="preserve"> ± 0.3</w:t>
            </w:r>
          </w:p>
        </w:tc>
        <w:tc>
          <w:tcPr>
            <w:tcW w:w="1843" w:type="dxa"/>
            <w:vMerge w:val="restart"/>
            <w:tcBorders>
              <w:top w:val="single" w:sz="4" w:space="0" w:color="auto"/>
              <w:left w:val="nil"/>
              <w:bottom w:val="nil"/>
              <w:right w:val="nil"/>
            </w:tcBorders>
            <w:shd w:val="clear" w:color="auto" w:fill="auto"/>
            <w:vAlign w:val="center"/>
          </w:tcPr>
          <w:p w:rsidR="00E03891" w:rsidRPr="00B10181" w:rsidRDefault="00E03891" w:rsidP="00402807">
            <w:pPr>
              <w:pStyle w:val="TCTableBody"/>
              <w:jc w:val="center"/>
            </w:pPr>
            <w:r w:rsidRPr="00B10181">
              <w:rPr>
                <w:rFonts w:ascii="Times New Roman" w:hAnsi="Times New Roman"/>
                <w:szCs w:val="24"/>
              </w:rPr>
              <w:t>8 ± 3</w:t>
            </w:r>
          </w:p>
        </w:tc>
        <w:tc>
          <w:tcPr>
            <w:tcW w:w="1417" w:type="dxa"/>
            <w:vMerge w:val="restart"/>
            <w:tcBorders>
              <w:top w:val="single" w:sz="4" w:space="0" w:color="auto"/>
              <w:left w:val="nil"/>
              <w:right w:val="nil"/>
            </w:tcBorders>
            <w:shd w:val="clear" w:color="auto" w:fill="auto"/>
            <w:vAlign w:val="center"/>
          </w:tcPr>
          <w:p w:rsidR="00572B0E" w:rsidRPr="00B10181" w:rsidRDefault="00572B0E" w:rsidP="00572B0E">
            <w:pPr>
              <w:pStyle w:val="TCTableBody"/>
              <w:jc w:val="center"/>
            </w:pPr>
            <w:r w:rsidRPr="00B10181">
              <w:rPr>
                <w:rFonts w:ascii="Times New Roman" w:hAnsi="Times New Roman"/>
                <w:szCs w:val="24"/>
              </w:rPr>
              <w:t>0.06 ± 0.01</w:t>
            </w:r>
          </w:p>
        </w:tc>
        <w:tc>
          <w:tcPr>
            <w:tcW w:w="717" w:type="dxa"/>
            <w:tcBorders>
              <w:top w:val="single" w:sz="4" w:space="0" w:color="auto"/>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E03891" w:rsidRPr="00B10181" w:rsidRDefault="00E03891" w:rsidP="006877C7">
            <w:pPr>
              <w:pStyle w:val="TCTableBody"/>
              <w:jc w:val="center"/>
              <w:rPr>
                <w:color w:val="000000"/>
              </w:rPr>
            </w:pPr>
            <w:r w:rsidRPr="00B10181">
              <w:rPr>
                <w:color w:val="000000"/>
              </w:rPr>
              <w:noBreakHyphen/>
              <w:t>8.7</w:t>
            </w:r>
            <w:r w:rsidRPr="00B10181">
              <w:rPr>
                <w:rFonts w:ascii="Times New Roman" w:hAnsi="Times New Roman"/>
                <w:szCs w:val="24"/>
              </w:rPr>
              <w:t xml:space="preserve"> ± 0.4</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E03891" w:rsidRPr="00B10181" w:rsidRDefault="00E03891" w:rsidP="006877C7">
            <w:pPr>
              <w:pStyle w:val="TCTableBody"/>
              <w:jc w:val="center"/>
              <w:rPr>
                <w:color w:val="000000"/>
              </w:rPr>
            </w:pPr>
            <w:r w:rsidRPr="00B10181">
              <w:rPr>
                <w:color w:val="000000"/>
              </w:rPr>
              <w:noBreakHyphen/>
              <w:t>9.6</w:t>
            </w:r>
            <w:r w:rsidRPr="00B10181">
              <w:rPr>
                <w:rFonts w:ascii="Times New Roman" w:hAnsi="Times New Roman"/>
                <w:szCs w:val="24"/>
              </w:rPr>
              <w:t xml:space="preserve"> ± 0.4</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E03891" w:rsidRPr="00B10181" w:rsidRDefault="00E03891" w:rsidP="00B10181">
            <w:pPr>
              <w:pStyle w:val="TCTableBody"/>
              <w:jc w:val="center"/>
              <w:rPr>
                <w:color w:val="000000"/>
              </w:rPr>
            </w:pPr>
            <w:r w:rsidRPr="00B10181">
              <w:rPr>
                <w:color w:val="000000"/>
              </w:rPr>
              <w:noBreakHyphen/>
              <w:t>10.4</w:t>
            </w:r>
            <w:r w:rsidRPr="00B10181">
              <w:rPr>
                <w:rFonts w:ascii="Times New Roman" w:hAnsi="Times New Roman"/>
                <w:szCs w:val="24"/>
              </w:rPr>
              <w:t xml:space="preserve"> ± 0.4</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single" w:sz="4" w:space="0" w:color="auto"/>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single" w:sz="4" w:space="0" w:color="auto"/>
              <w:right w:val="nil"/>
            </w:tcBorders>
            <w:shd w:val="clear" w:color="auto" w:fill="auto"/>
          </w:tcPr>
          <w:p w:rsidR="00572B0E" w:rsidRPr="00B10181" w:rsidRDefault="00572B0E" w:rsidP="00645136">
            <w:pPr>
              <w:pStyle w:val="TCTableBody"/>
              <w:jc w:val="center"/>
            </w:pPr>
          </w:p>
        </w:tc>
        <w:tc>
          <w:tcPr>
            <w:tcW w:w="1985" w:type="dxa"/>
            <w:tcBorders>
              <w:top w:val="nil"/>
              <w:left w:val="nil"/>
              <w:bottom w:val="single" w:sz="4" w:space="0" w:color="auto"/>
              <w:right w:val="nil"/>
            </w:tcBorders>
            <w:shd w:val="clear" w:color="auto" w:fill="auto"/>
          </w:tcPr>
          <w:p w:rsidR="00E03891" w:rsidRPr="00B10181" w:rsidRDefault="00E03891" w:rsidP="006877C7">
            <w:pPr>
              <w:pStyle w:val="TCTableBody"/>
              <w:jc w:val="center"/>
              <w:rPr>
                <w:color w:val="000000"/>
              </w:rPr>
            </w:pPr>
            <w:r w:rsidRPr="00B10181">
              <w:rPr>
                <w:color w:val="000000"/>
              </w:rPr>
              <w:noBreakHyphen/>
              <w:t>10.7</w:t>
            </w:r>
            <w:r w:rsidRPr="00B10181">
              <w:rPr>
                <w:rFonts w:ascii="Times New Roman" w:hAnsi="Times New Roman"/>
                <w:szCs w:val="24"/>
              </w:rPr>
              <w:t xml:space="preserve"> ± 0.5</w:t>
            </w:r>
          </w:p>
        </w:tc>
        <w:tc>
          <w:tcPr>
            <w:tcW w:w="1843" w:type="dxa"/>
            <w:vMerge/>
            <w:tcBorders>
              <w:top w:val="nil"/>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single" w:sz="4" w:space="0" w:color="auto"/>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single" w:sz="4" w:space="0" w:color="auto"/>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top w:val="nil"/>
              <w:left w:val="nil"/>
              <w:right w:val="nil"/>
            </w:tcBorders>
            <w:shd w:val="clear" w:color="auto" w:fill="auto"/>
            <w:vAlign w:val="center"/>
          </w:tcPr>
          <w:p w:rsidR="00572B0E" w:rsidRPr="00B10181" w:rsidRDefault="00572B0E" w:rsidP="00645136">
            <w:pPr>
              <w:pStyle w:val="TCTableBody"/>
              <w:jc w:val="center"/>
            </w:pPr>
            <w:r w:rsidRPr="00B10181">
              <w:object w:dxaOrig="1152" w:dyaOrig="1356">
                <v:shape id="_x0000_i1031" type="#_x0000_t75" style="width:56.85pt;height:66.3pt" o:ole="">
                  <v:imagedata r:id="rId26" o:title=""/>
                </v:shape>
                <o:OLEObject Type="Embed" ProgID="ChemDraw.Document.6.0" ShapeID="_x0000_i1031" DrawAspect="Content" ObjectID="_1606303026" r:id="rId27"/>
              </w:object>
            </w:r>
          </w:p>
        </w:tc>
        <w:tc>
          <w:tcPr>
            <w:tcW w:w="992" w:type="dxa"/>
            <w:vMerge w:val="restart"/>
            <w:tcBorders>
              <w:top w:val="nil"/>
              <w:left w:val="nil"/>
              <w:right w:val="nil"/>
            </w:tcBorders>
            <w:shd w:val="clear" w:color="auto" w:fill="auto"/>
            <w:vAlign w:val="center"/>
          </w:tcPr>
          <w:p w:rsidR="00572B0E" w:rsidRPr="00B10181" w:rsidRDefault="00572B0E" w:rsidP="00645136">
            <w:pPr>
              <w:pStyle w:val="TCTableBody"/>
              <w:jc w:val="center"/>
            </w:pPr>
            <w:proofErr w:type="spellStart"/>
            <w:r w:rsidRPr="00B10181">
              <w:t>Trp</w:t>
            </w:r>
            <w:proofErr w:type="spellEnd"/>
          </w:p>
        </w:tc>
        <w:tc>
          <w:tcPr>
            <w:tcW w:w="1985" w:type="dxa"/>
            <w:tcBorders>
              <w:top w:val="single" w:sz="4" w:space="0" w:color="auto"/>
              <w:left w:val="nil"/>
              <w:bottom w:val="nil"/>
              <w:right w:val="nil"/>
            </w:tcBorders>
            <w:shd w:val="clear" w:color="auto" w:fill="auto"/>
          </w:tcPr>
          <w:p w:rsidR="0070770D" w:rsidRPr="00B10181" w:rsidRDefault="0070770D" w:rsidP="006877C7">
            <w:pPr>
              <w:pStyle w:val="TCTableBody"/>
              <w:jc w:val="center"/>
              <w:rPr>
                <w:color w:val="000000"/>
              </w:rPr>
            </w:pPr>
            <w:r w:rsidRPr="00B10181">
              <w:rPr>
                <w:color w:val="000000"/>
              </w:rPr>
              <w:noBreakHyphen/>
              <w:t>4.0</w:t>
            </w:r>
            <w:r w:rsidRPr="00B10181">
              <w:rPr>
                <w:rFonts w:ascii="Times New Roman" w:hAnsi="Times New Roman"/>
                <w:szCs w:val="24"/>
              </w:rPr>
              <w:t xml:space="preserve"> ± 0.2</w:t>
            </w:r>
          </w:p>
        </w:tc>
        <w:tc>
          <w:tcPr>
            <w:tcW w:w="1843" w:type="dxa"/>
            <w:vMerge w:val="restart"/>
            <w:tcBorders>
              <w:top w:val="nil"/>
              <w:left w:val="nil"/>
              <w:right w:val="nil"/>
            </w:tcBorders>
            <w:shd w:val="clear" w:color="auto" w:fill="auto"/>
            <w:vAlign w:val="center"/>
          </w:tcPr>
          <w:p w:rsidR="00864C9E" w:rsidRPr="00B10181" w:rsidRDefault="00864C9E" w:rsidP="006F5A67">
            <w:pPr>
              <w:pStyle w:val="TCTableBody"/>
              <w:jc w:val="center"/>
            </w:pPr>
            <w:r w:rsidRPr="00B10181">
              <w:rPr>
                <w:rFonts w:ascii="Times New Roman" w:hAnsi="Times New Roman"/>
                <w:szCs w:val="24"/>
              </w:rPr>
              <w:t>30 ± 30</w:t>
            </w:r>
          </w:p>
        </w:tc>
        <w:tc>
          <w:tcPr>
            <w:tcW w:w="1417" w:type="dxa"/>
            <w:vMerge w:val="restart"/>
            <w:tcBorders>
              <w:top w:val="single" w:sz="4" w:space="0" w:color="auto"/>
              <w:left w:val="nil"/>
              <w:right w:val="nil"/>
            </w:tcBorders>
            <w:shd w:val="clear" w:color="auto" w:fill="auto"/>
            <w:vAlign w:val="center"/>
          </w:tcPr>
          <w:p w:rsidR="00864C9E" w:rsidRPr="00B10181" w:rsidRDefault="00864C9E" w:rsidP="00402807">
            <w:pPr>
              <w:pStyle w:val="TCTableBody"/>
              <w:jc w:val="center"/>
            </w:pPr>
            <w:r w:rsidRPr="00B10181">
              <w:t xml:space="preserve">0.2 </w:t>
            </w:r>
            <w:r w:rsidRPr="00B10181">
              <w:rPr>
                <w:rFonts w:ascii="Times New Roman" w:hAnsi="Times New Roman"/>
                <w:szCs w:val="24"/>
              </w:rPr>
              <w:t>± 0.1</w:t>
            </w:r>
          </w:p>
        </w:tc>
        <w:tc>
          <w:tcPr>
            <w:tcW w:w="717" w:type="dxa"/>
            <w:tcBorders>
              <w:top w:val="single" w:sz="4" w:space="0" w:color="auto"/>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992" w:type="dxa"/>
            <w:vMerge/>
            <w:tcBorders>
              <w:left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70770D" w:rsidRPr="00B10181" w:rsidRDefault="0070770D" w:rsidP="006877C7">
            <w:pPr>
              <w:pStyle w:val="TCTableBody"/>
              <w:jc w:val="center"/>
              <w:rPr>
                <w:color w:val="000000"/>
              </w:rPr>
            </w:pPr>
            <w:r w:rsidRPr="00B10181">
              <w:rPr>
                <w:color w:val="000000"/>
              </w:rPr>
              <w:noBreakHyphen/>
              <w:t>6.4</w:t>
            </w:r>
            <w:r w:rsidRPr="00B10181">
              <w:rPr>
                <w:rFonts w:ascii="Times New Roman" w:hAnsi="Times New Roman"/>
                <w:szCs w:val="24"/>
              </w:rPr>
              <w:t xml:space="preserve"> ± 0.2</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992" w:type="dxa"/>
            <w:vMerge/>
            <w:tcBorders>
              <w:left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70770D" w:rsidRPr="00B10181" w:rsidRDefault="0070770D" w:rsidP="006877C7">
            <w:pPr>
              <w:pStyle w:val="TCTableBody"/>
              <w:jc w:val="center"/>
              <w:rPr>
                <w:color w:val="000000"/>
              </w:rPr>
            </w:pPr>
            <w:r w:rsidRPr="00B10181">
              <w:rPr>
                <w:color w:val="000000"/>
              </w:rPr>
              <w:noBreakHyphen/>
              <w:t>9.9</w:t>
            </w:r>
            <w:r w:rsidRPr="00B10181">
              <w:rPr>
                <w:rFonts w:ascii="Times New Roman" w:hAnsi="Times New Roman"/>
                <w:szCs w:val="24"/>
              </w:rPr>
              <w:t xml:space="preserve"> ± 0.3</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Pr>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303.15</w:t>
            </w: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992" w:type="dxa"/>
            <w:vMerge/>
            <w:tcBorders>
              <w:left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70770D" w:rsidRPr="00B10181" w:rsidRDefault="0070770D" w:rsidP="006877C7">
            <w:pPr>
              <w:pStyle w:val="TCTableBody"/>
              <w:jc w:val="center"/>
              <w:rPr>
                <w:color w:val="000000"/>
              </w:rPr>
            </w:pPr>
            <w:r w:rsidRPr="00B10181">
              <w:rPr>
                <w:color w:val="000000"/>
              </w:rPr>
              <w:noBreakHyphen/>
              <w:t>8.0</w:t>
            </w:r>
            <w:r w:rsidRPr="00B10181">
              <w:rPr>
                <w:rFonts w:ascii="Times New Roman" w:hAnsi="Times New Roman"/>
                <w:szCs w:val="24"/>
              </w:rPr>
              <w:t xml:space="preserve"> ± 0.</w:t>
            </w:r>
            <w:r w:rsidR="00864C9E" w:rsidRPr="00B10181">
              <w:rPr>
                <w:rFonts w:ascii="Times New Roman" w:hAnsi="Times New Roman"/>
                <w:szCs w:val="24"/>
              </w:rPr>
              <w:t>3</w:t>
            </w:r>
          </w:p>
        </w:tc>
        <w:tc>
          <w:tcPr>
            <w:tcW w:w="1843" w:type="dxa"/>
            <w:vMerge/>
            <w:tcBorders>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rPr>
          <w:gridAfter w:val="1"/>
          <w:wAfter w:w="30" w:type="dxa"/>
          <w:trHeight w:val="410"/>
        </w:trPr>
        <w:tc>
          <w:tcPr>
            <w:tcW w:w="1101" w:type="dxa"/>
            <w:tcBorders>
              <w:top w:val="nil"/>
              <w:left w:val="nil"/>
              <w:bottom w:val="single" w:sz="4" w:space="0" w:color="auto"/>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992" w:type="dxa"/>
            <w:vMerge/>
            <w:tcBorders>
              <w:left w:val="nil"/>
              <w:bottom w:val="single" w:sz="4" w:space="0" w:color="auto"/>
              <w:right w:val="nil"/>
            </w:tcBorders>
            <w:shd w:val="clear" w:color="auto" w:fill="auto"/>
          </w:tcPr>
          <w:p w:rsidR="00572B0E" w:rsidRPr="00B10181" w:rsidRDefault="00572B0E" w:rsidP="00645136">
            <w:pPr>
              <w:pStyle w:val="TCTableBody"/>
              <w:jc w:val="center"/>
            </w:pPr>
          </w:p>
        </w:tc>
        <w:tc>
          <w:tcPr>
            <w:tcW w:w="1985" w:type="dxa"/>
            <w:tcBorders>
              <w:top w:val="nil"/>
              <w:left w:val="nil"/>
              <w:bottom w:val="single" w:sz="4" w:space="0" w:color="auto"/>
              <w:right w:val="nil"/>
            </w:tcBorders>
            <w:shd w:val="clear" w:color="auto" w:fill="auto"/>
            <w:vAlign w:val="center"/>
          </w:tcPr>
          <w:p w:rsidR="00572B0E" w:rsidRPr="00B10181" w:rsidRDefault="00572B0E" w:rsidP="006877C7">
            <w:pPr>
              <w:jc w:val="center"/>
              <w:rPr>
                <w:rFonts w:ascii="Times New Roman" w:hAnsi="Times New Roman"/>
                <w:szCs w:val="24"/>
              </w:rPr>
            </w:pPr>
            <w:r w:rsidRPr="00B10181">
              <w:rPr>
                <w:rFonts w:ascii="Times New Roman" w:hAnsi="Times New Roman"/>
                <w:szCs w:val="24"/>
              </w:rPr>
              <w:t>-</w:t>
            </w:r>
          </w:p>
        </w:tc>
        <w:tc>
          <w:tcPr>
            <w:tcW w:w="1843"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717" w:type="dxa"/>
            <w:tcBorders>
              <w:top w:val="nil"/>
              <w:left w:val="nil"/>
              <w:bottom w:val="single" w:sz="4" w:space="0" w:color="auto"/>
              <w:right w:val="nil"/>
            </w:tcBorders>
            <w:shd w:val="clear" w:color="auto" w:fill="auto"/>
            <w:vAlign w:val="center"/>
          </w:tcPr>
          <w:p w:rsidR="00572B0E" w:rsidRPr="00B10181" w:rsidRDefault="00572B0E" w:rsidP="00645136">
            <w:pPr>
              <w:pStyle w:val="TCTableBody"/>
              <w:jc w:val="center"/>
            </w:pPr>
          </w:p>
        </w:tc>
      </w:tr>
      <w:tr w:rsidR="00645136" w:rsidRPr="00B10181" w:rsidTr="00645136">
        <w:trPr>
          <w:gridAfter w:val="1"/>
          <w:wAfter w:w="30" w:type="dxa"/>
        </w:trPr>
        <w:tc>
          <w:tcPr>
            <w:tcW w:w="9472" w:type="dxa"/>
            <w:gridSpan w:val="7"/>
            <w:tcBorders>
              <w:left w:val="nil"/>
              <w:bottom w:val="single" w:sz="4" w:space="0" w:color="auto"/>
              <w:right w:val="nil"/>
            </w:tcBorders>
            <w:shd w:val="clear" w:color="auto" w:fill="auto"/>
            <w:vAlign w:val="center"/>
          </w:tcPr>
          <w:p w:rsidR="00645136" w:rsidRPr="00B10181" w:rsidRDefault="00645136" w:rsidP="00645136">
            <w:pPr>
              <w:pStyle w:val="TCTableBody"/>
              <w:jc w:val="center"/>
            </w:pPr>
            <w:r w:rsidRPr="00B10181">
              <w:rPr>
                <w:i/>
              </w:rPr>
              <w:t>nonpolar АA</w:t>
            </w:r>
          </w:p>
        </w:tc>
      </w:tr>
      <w:tr w:rsidR="00572B0E" w:rsidRPr="00B10181" w:rsidTr="006877C7">
        <w:tc>
          <w:tcPr>
            <w:tcW w:w="1101" w:type="dxa"/>
            <w:tcBorders>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object w:dxaOrig="211" w:dyaOrig="434">
                <v:shape id="_x0000_i1032" type="#_x0000_t75" style="width:13.25pt;height:20.85pt" o:ole="">
                  <v:imagedata r:id="rId28" o:title=""/>
                </v:shape>
                <o:OLEObject Type="Embed" ProgID="ChemDraw.Document.6.0" ShapeID="_x0000_i1032" DrawAspect="Content" ObjectID="_1606303027" r:id="rId29"/>
              </w:object>
            </w:r>
          </w:p>
        </w:tc>
        <w:tc>
          <w:tcPr>
            <w:tcW w:w="992"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proofErr w:type="spellStart"/>
            <w:r w:rsidRPr="00B10181">
              <w:t>Gly</w:t>
            </w:r>
            <w:proofErr w:type="spellEnd"/>
          </w:p>
        </w:tc>
        <w:tc>
          <w:tcPr>
            <w:tcW w:w="1985" w:type="dxa"/>
            <w:tcBorders>
              <w:left w:val="nil"/>
              <w:bottom w:val="nil"/>
              <w:right w:val="nil"/>
            </w:tcBorders>
            <w:shd w:val="clear" w:color="auto" w:fill="auto"/>
          </w:tcPr>
          <w:p w:rsidR="00C55A19" w:rsidRPr="00B10181" w:rsidRDefault="00C55A19" w:rsidP="006877C7">
            <w:pPr>
              <w:pStyle w:val="TCTableBody"/>
              <w:jc w:val="center"/>
              <w:rPr>
                <w:color w:val="000000"/>
              </w:rPr>
            </w:pPr>
            <w:r w:rsidRPr="00B10181">
              <w:rPr>
                <w:color w:val="000000"/>
              </w:rPr>
              <w:noBreakHyphen/>
            </w:r>
            <w:r w:rsidRPr="00B10181">
              <w:t>15.8</w:t>
            </w:r>
            <w:r w:rsidRPr="00B10181">
              <w:rPr>
                <w:rFonts w:ascii="Times New Roman" w:hAnsi="Times New Roman"/>
                <w:szCs w:val="24"/>
              </w:rPr>
              <w:t xml:space="preserve"> ± 0.2</w:t>
            </w:r>
          </w:p>
        </w:tc>
        <w:tc>
          <w:tcPr>
            <w:tcW w:w="1843" w:type="dxa"/>
            <w:vMerge w:val="restart"/>
            <w:tcBorders>
              <w:left w:val="nil"/>
              <w:bottom w:val="nil"/>
              <w:right w:val="nil"/>
            </w:tcBorders>
            <w:shd w:val="clear" w:color="auto" w:fill="auto"/>
            <w:vAlign w:val="center"/>
          </w:tcPr>
          <w:p w:rsidR="003470CF" w:rsidRPr="00B10181" w:rsidRDefault="003470CF" w:rsidP="00402807">
            <w:pPr>
              <w:pStyle w:val="TCTableBody"/>
              <w:jc w:val="center"/>
            </w:pPr>
            <w:r w:rsidRPr="00B10181">
              <w:rPr>
                <w:rFonts w:ascii="Times New Roman" w:hAnsi="Times New Roman"/>
                <w:szCs w:val="24"/>
              </w:rPr>
              <w:noBreakHyphen/>
              <w:t>3 ± 6</w:t>
            </w:r>
          </w:p>
        </w:tc>
        <w:tc>
          <w:tcPr>
            <w:tcW w:w="1417" w:type="dxa"/>
            <w:vMerge w:val="restart"/>
            <w:tcBorders>
              <w:left w:val="nil"/>
              <w:right w:val="nil"/>
            </w:tcBorders>
            <w:shd w:val="clear" w:color="auto" w:fill="auto"/>
            <w:vAlign w:val="center"/>
          </w:tcPr>
          <w:p w:rsidR="003470CF" w:rsidRPr="00B10181" w:rsidRDefault="003470CF" w:rsidP="00402807">
            <w:pPr>
              <w:pStyle w:val="TCTableBody"/>
              <w:jc w:val="center"/>
            </w:pPr>
            <w:r w:rsidRPr="00B10181">
              <w:rPr>
                <w:rFonts w:ascii="Times New Roman" w:hAnsi="Times New Roman"/>
                <w:szCs w:val="24"/>
              </w:rPr>
              <w:t>0.05 ± 0.01</w:t>
            </w:r>
          </w:p>
        </w:tc>
        <w:tc>
          <w:tcPr>
            <w:tcW w:w="747" w:type="dxa"/>
            <w:gridSpan w:val="2"/>
            <w:tcBorders>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C55A19" w:rsidRPr="00B10181" w:rsidRDefault="00C55A19" w:rsidP="006877C7">
            <w:pPr>
              <w:pStyle w:val="TCTableBody"/>
              <w:jc w:val="center"/>
              <w:rPr>
                <w:color w:val="000000"/>
              </w:rPr>
            </w:pPr>
            <w:r w:rsidRPr="00B10181">
              <w:rPr>
                <w:color w:val="000000"/>
              </w:rPr>
              <w:noBreakHyphen/>
              <w:t>15.9</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C55A19" w:rsidRPr="00B10181" w:rsidRDefault="00C55A19" w:rsidP="006877C7">
            <w:pPr>
              <w:pStyle w:val="TCTableBody"/>
              <w:jc w:val="center"/>
              <w:rPr>
                <w:color w:val="000000"/>
              </w:rPr>
            </w:pPr>
            <w:r w:rsidRPr="00B10181">
              <w:rPr>
                <w:color w:val="000000"/>
              </w:rPr>
              <w:noBreakHyphen/>
              <w:t>17.1</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C55A19" w:rsidRPr="00B10181" w:rsidRDefault="00C55A19" w:rsidP="006877C7">
            <w:pPr>
              <w:pStyle w:val="TCTableBody"/>
              <w:jc w:val="center"/>
              <w:rPr>
                <w:color w:val="000000"/>
              </w:rPr>
            </w:pPr>
            <w:r w:rsidRPr="00B10181">
              <w:rPr>
                <w:color w:val="000000"/>
              </w:rPr>
              <w:noBreakHyphen/>
              <w:t>16.6</w:t>
            </w:r>
            <w:r w:rsidRPr="00B10181">
              <w:rPr>
                <w:rFonts w:ascii="Times New Roman" w:hAnsi="Times New Roman"/>
                <w:szCs w:val="24"/>
              </w:rPr>
              <w:t xml:space="preserve"> ± 0.5</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single" w:sz="4" w:space="0" w:color="auto"/>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single" w:sz="4" w:space="0" w:color="auto"/>
              <w:right w:val="nil"/>
            </w:tcBorders>
            <w:shd w:val="clear" w:color="auto" w:fill="auto"/>
          </w:tcPr>
          <w:p w:rsidR="00572B0E" w:rsidRPr="00B10181" w:rsidRDefault="00572B0E" w:rsidP="00645136">
            <w:pPr>
              <w:pStyle w:val="TCTableBody"/>
              <w:jc w:val="center"/>
            </w:pPr>
          </w:p>
        </w:tc>
        <w:tc>
          <w:tcPr>
            <w:tcW w:w="1985" w:type="dxa"/>
            <w:tcBorders>
              <w:top w:val="nil"/>
              <w:left w:val="nil"/>
              <w:bottom w:val="single" w:sz="4" w:space="0" w:color="auto"/>
              <w:right w:val="nil"/>
            </w:tcBorders>
            <w:shd w:val="clear" w:color="auto" w:fill="auto"/>
          </w:tcPr>
          <w:p w:rsidR="003470CF" w:rsidRPr="00B10181" w:rsidRDefault="003470CF" w:rsidP="006877C7">
            <w:pPr>
              <w:pStyle w:val="TCTableBody"/>
              <w:jc w:val="center"/>
              <w:rPr>
                <w:color w:val="000000"/>
              </w:rPr>
            </w:pPr>
            <w:r w:rsidRPr="00B10181">
              <w:rPr>
                <w:color w:val="000000"/>
              </w:rPr>
              <w:noBreakHyphen/>
              <w:t>17.8</w:t>
            </w:r>
            <w:r w:rsidRPr="00B10181">
              <w:rPr>
                <w:rFonts w:ascii="Times New Roman" w:hAnsi="Times New Roman"/>
                <w:szCs w:val="24"/>
              </w:rPr>
              <w:t xml:space="preserve"> ± 0.4</w:t>
            </w:r>
          </w:p>
        </w:tc>
        <w:tc>
          <w:tcPr>
            <w:tcW w:w="1843" w:type="dxa"/>
            <w:vMerge/>
            <w:tcBorders>
              <w:top w:val="nil"/>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bottom w:val="single" w:sz="4" w:space="0" w:color="auto"/>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single" w:sz="4" w:space="0" w:color="auto"/>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single" w:sz="4" w:space="0" w:color="auto"/>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top w:val="single" w:sz="4" w:space="0" w:color="auto"/>
              <w:left w:val="nil"/>
              <w:bottom w:val="nil"/>
              <w:right w:val="nil"/>
            </w:tcBorders>
            <w:shd w:val="clear" w:color="auto" w:fill="auto"/>
            <w:vAlign w:val="center"/>
          </w:tcPr>
          <w:p w:rsidR="00572B0E" w:rsidRPr="00B10181" w:rsidRDefault="00572B0E" w:rsidP="00645136">
            <w:pPr>
              <w:pStyle w:val="TCTableBody"/>
              <w:jc w:val="center"/>
            </w:pPr>
            <w:r w:rsidRPr="00B10181">
              <w:object w:dxaOrig="1049" w:dyaOrig="1137">
                <v:shape id="_x0000_i1033" type="#_x0000_t75" style="width:51.15pt;height:58.75pt" o:ole="">
                  <v:imagedata r:id="rId30" o:title=""/>
                </v:shape>
                <o:OLEObject Type="Embed" ProgID="ChemDraw.Document.6.0" ShapeID="_x0000_i1033" DrawAspect="Content" ObjectID="_1606303028" r:id="rId31"/>
              </w:object>
            </w:r>
          </w:p>
        </w:tc>
        <w:tc>
          <w:tcPr>
            <w:tcW w:w="992" w:type="dxa"/>
            <w:vMerge w:val="restart"/>
            <w:tcBorders>
              <w:top w:val="single" w:sz="4" w:space="0" w:color="auto"/>
              <w:left w:val="nil"/>
              <w:bottom w:val="nil"/>
              <w:right w:val="nil"/>
            </w:tcBorders>
            <w:shd w:val="clear" w:color="auto" w:fill="auto"/>
            <w:vAlign w:val="center"/>
          </w:tcPr>
          <w:p w:rsidR="00572B0E" w:rsidRPr="00B10181" w:rsidRDefault="00572B0E" w:rsidP="00645136">
            <w:pPr>
              <w:pStyle w:val="TCTableBody"/>
              <w:jc w:val="center"/>
            </w:pPr>
            <w:r w:rsidRPr="00B10181">
              <w:t>Pro</w:t>
            </w:r>
          </w:p>
        </w:tc>
        <w:tc>
          <w:tcPr>
            <w:tcW w:w="1985" w:type="dxa"/>
            <w:tcBorders>
              <w:top w:val="single" w:sz="4" w:space="0" w:color="auto"/>
              <w:left w:val="nil"/>
              <w:bottom w:val="nil"/>
              <w:right w:val="nil"/>
            </w:tcBorders>
            <w:shd w:val="clear" w:color="auto" w:fill="auto"/>
          </w:tcPr>
          <w:p w:rsidR="003470CF" w:rsidRPr="00B10181" w:rsidRDefault="003470CF" w:rsidP="006877C7">
            <w:pPr>
              <w:pStyle w:val="TCTableBody"/>
              <w:jc w:val="center"/>
              <w:rPr>
                <w:color w:val="000000"/>
              </w:rPr>
            </w:pPr>
            <w:r w:rsidRPr="00B10181">
              <w:rPr>
                <w:color w:val="000000"/>
              </w:rPr>
              <w:noBreakHyphen/>
              <w:t>14.4</w:t>
            </w:r>
            <w:r w:rsidRPr="00B10181">
              <w:rPr>
                <w:rFonts w:ascii="Times New Roman" w:hAnsi="Times New Roman"/>
                <w:szCs w:val="24"/>
              </w:rPr>
              <w:t xml:space="preserve"> ± 0.3</w:t>
            </w:r>
          </w:p>
        </w:tc>
        <w:tc>
          <w:tcPr>
            <w:tcW w:w="1843" w:type="dxa"/>
            <w:vMerge w:val="restart"/>
            <w:tcBorders>
              <w:top w:val="single" w:sz="4" w:space="0" w:color="auto"/>
              <w:left w:val="nil"/>
              <w:bottom w:val="nil"/>
              <w:right w:val="nil"/>
            </w:tcBorders>
            <w:shd w:val="clear" w:color="auto" w:fill="auto"/>
            <w:vAlign w:val="center"/>
          </w:tcPr>
          <w:p w:rsidR="003470CF" w:rsidRPr="00B10181" w:rsidRDefault="003470CF" w:rsidP="006F5A67">
            <w:pPr>
              <w:pStyle w:val="TCTableBody"/>
              <w:jc w:val="center"/>
              <w:rPr>
                <w:lang w:val="ru-RU"/>
              </w:rPr>
            </w:pPr>
            <w:r w:rsidRPr="00B10181">
              <w:rPr>
                <w:rFonts w:ascii="Times New Roman" w:hAnsi="Times New Roman"/>
                <w:szCs w:val="24"/>
              </w:rPr>
              <w:t>70 ± 40</w:t>
            </w:r>
          </w:p>
        </w:tc>
        <w:tc>
          <w:tcPr>
            <w:tcW w:w="1417" w:type="dxa"/>
            <w:vMerge w:val="restart"/>
            <w:tcBorders>
              <w:top w:val="single" w:sz="4" w:space="0" w:color="auto"/>
              <w:left w:val="nil"/>
              <w:right w:val="nil"/>
            </w:tcBorders>
            <w:shd w:val="clear" w:color="auto" w:fill="auto"/>
            <w:vAlign w:val="center"/>
          </w:tcPr>
          <w:p w:rsidR="003470CF" w:rsidRPr="00B10181" w:rsidRDefault="003470CF" w:rsidP="00402807">
            <w:pPr>
              <w:pStyle w:val="TCTableBody"/>
              <w:jc w:val="center"/>
            </w:pPr>
            <w:r w:rsidRPr="00B10181">
              <w:rPr>
                <w:rFonts w:ascii="Times New Roman" w:hAnsi="Times New Roman"/>
                <w:szCs w:val="24"/>
              </w:rPr>
              <w:t>0.3 ± 0.1</w:t>
            </w:r>
          </w:p>
        </w:tc>
        <w:tc>
          <w:tcPr>
            <w:tcW w:w="747" w:type="dxa"/>
            <w:gridSpan w:val="2"/>
            <w:tcBorders>
              <w:top w:val="single" w:sz="4" w:space="0" w:color="auto"/>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3470CF" w:rsidRPr="00B10181" w:rsidRDefault="003470CF" w:rsidP="006877C7">
            <w:pPr>
              <w:pStyle w:val="TCTableBody"/>
              <w:jc w:val="center"/>
              <w:rPr>
                <w:color w:val="000000"/>
              </w:rPr>
            </w:pPr>
            <w:r w:rsidRPr="00B10181">
              <w:rPr>
                <w:color w:val="000000"/>
              </w:rPr>
              <w:noBreakHyphen/>
              <w:t>13.4</w:t>
            </w:r>
            <w:r w:rsidRPr="00B10181">
              <w:rPr>
                <w:rFonts w:ascii="Times New Roman" w:hAnsi="Times New Roman"/>
                <w:szCs w:val="24"/>
              </w:rPr>
              <w:t xml:space="preserve"> ± 0.4</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3470CF" w:rsidRPr="00B10181" w:rsidRDefault="003470CF" w:rsidP="006877C7">
            <w:pPr>
              <w:pStyle w:val="TCTableBody"/>
              <w:jc w:val="center"/>
              <w:rPr>
                <w:color w:val="000000"/>
              </w:rPr>
            </w:pPr>
            <w:r w:rsidRPr="00B10181">
              <w:rPr>
                <w:color w:val="000000"/>
              </w:rPr>
              <w:noBreakHyphen/>
              <w:t>14.8</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lastRenderedPageBreak/>
              <w:t>303.15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3470CF" w:rsidRPr="00B10181" w:rsidRDefault="003470CF" w:rsidP="006877C7">
            <w:pPr>
              <w:pStyle w:val="TCTableBody"/>
              <w:jc w:val="center"/>
            </w:pPr>
            <w:r w:rsidRPr="00B10181">
              <w:rPr>
                <w:color w:val="000000"/>
              </w:rPr>
              <w:noBreakHyphen/>
            </w:r>
            <w:r w:rsidRPr="00B10181">
              <w:t>21.2</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315EEE">
        <w:trPr>
          <w:trHeight w:val="795"/>
        </w:trPr>
        <w:tc>
          <w:tcPr>
            <w:tcW w:w="1101" w:type="dxa"/>
            <w:tcBorders>
              <w:top w:val="nil"/>
              <w:left w:val="nil"/>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top w:val="nil"/>
              <w:left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right w:val="nil"/>
            </w:tcBorders>
            <w:shd w:val="clear" w:color="auto" w:fill="auto"/>
          </w:tcPr>
          <w:p w:rsidR="00572B0E" w:rsidRPr="00B10181" w:rsidRDefault="00572B0E" w:rsidP="00645136">
            <w:pPr>
              <w:pStyle w:val="TCTableBody"/>
              <w:jc w:val="center"/>
            </w:pPr>
          </w:p>
        </w:tc>
        <w:tc>
          <w:tcPr>
            <w:tcW w:w="1985" w:type="dxa"/>
            <w:tcBorders>
              <w:top w:val="nil"/>
              <w:left w:val="nil"/>
              <w:right w:val="nil"/>
            </w:tcBorders>
            <w:shd w:val="clear" w:color="auto" w:fill="auto"/>
          </w:tcPr>
          <w:p w:rsidR="003470CF" w:rsidRPr="00B10181" w:rsidRDefault="003470CF" w:rsidP="006877C7">
            <w:pPr>
              <w:pStyle w:val="TCTableBody"/>
              <w:jc w:val="center"/>
            </w:pPr>
            <w:r w:rsidRPr="00B10181">
              <w:rPr>
                <w:color w:val="000000"/>
              </w:rPr>
              <w:noBreakHyphen/>
            </w:r>
            <w:r w:rsidRPr="00B10181">
              <w:t>26.0</w:t>
            </w:r>
            <w:r w:rsidRPr="00B10181">
              <w:rPr>
                <w:rFonts w:ascii="Times New Roman" w:hAnsi="Times New Roman"/>
                <w:szCs w:val="24"/>
              </w:rPr>
              <w:t xml:space="preserve"> ± 0.5</w:t>
            </w:r>
          </w:p>
        </w:tc>
        <w:tc>
          <w:tcPr>
            <w:tcW w:w="1843" w:type="dxa"/>
            <w:vMerge/>
            <w:tcBorders>
              <w:top w:val="nil"/>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left w:val="nil"/>
              <w:bottom w:val="nil"/>
              <w:right w:val="nil"/>
            </w:tcBorders>
            <w:shd w:val="clear" w:color="auto" w:fill="auto"/>
          </w:tcPr>
          <w:p w:rsidR="00572B0E" w:rsidRPr="00B10181" w:rsidRDefault="00572B0E"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object w:dxaOrig="441" w:dyaOrig="1344">
                <v:shape id="_x0000_i1034" type="#_x0000_t75" style="width:20.85pt;height:64.4pt" o:ole="">
                  <v:imagedata r:id="rId32" o:title=""/>
                </v:shape>
                <o:OLEObject Type="Embed" ProgID="ChemDraw.Document.6.0" ShapeID="_x0000_i1034" DrawAspect="Content" ObjectID="_1606303029" r:id="rId33"/>
              </w:object>
            </w:r>
          </w:p>
        </w:tc>
        <w:tc>
          <w:tcPr>
            <w:tcW w:w="992" w:type="dxa"/>
            <w:vMerge w:val="restart"/>
            <w:tcBorders>
              <w:left w:val="nil"/>
              <w:bottom w:val="nil"/>
              <w:right w:val="nil"/>
            </w:tcBorders>
            <w:shd w:val="clear" w:color="auto" w:fill="auto"/>
            <w:vAlign w:val="center"/>
          </w:tcPr>
          <w:p w:rsidR="00572B0E" w:rsidRPr="00B10181" w:rsidRDefault="00572B0E" w:rsidP="00645136">
            <w:pPr>
              <w:pStyle w:val="TCTableBody"/>
              <w:jc w:val="center"/>
            </w:pPr>
            <w:r w:rsidRPr="00B10181">
              <w:t>Met</w:t>
            </w:r>
          </w:p>
        </w:tc>
        <w:tc>
          <w:tcPr>
            <w:tcW w:w="1985" w:type="dxa"/>
            <w:tcBorders>
              <w:left w:val="nil"/>
              <w:bottom w:val="nil"/>
              <w:right w:val="nil"/>
            </w:tcBorders>
            <w:shd w:val="clear" w:color="auto" w:fill="auto"/>
          </w:tcPr>
          <w:p w:rsidR="002A7994" w:rsidRPr="00B10181" w:rsidRDefault="002A7994" w:rsidP="006877C7">
            <w:pPr>
              <w:pStyle w:val="TCTableBody"/>
              <w:jc w:val="center"/>
              <w:rPr>
                <w:color w:val="000000"/>
              </w:rPr>
            </w:pPr>
            <w:r w:rsidRPr="00B10181">
              <w:rPr>
                <w:color w:val="000000"/>
              </w:rPr>
              <w:noBreakHyphen/>
              <w:t>7.5</w:t>
            </w:r>
            <w:r w:rsidRPr="00B10181">
              <w:rPr>
                <w:rFonts w:ascii="Times New Roman" w:hAnsi="Times New Roman"/>
                <w:szCs w:val="24"/>
              </w:rPr>
              <w:t xml:space="preserve"> ± 0.4</w:t>
            </w:r>
          </w:p>
        </w:tc>
        <w:tc>
          <w:tcPr>
            <w:tcW w:w="1843" w:type="dxa"/>
            <w:vMerge w:val="restart"/>
            <w:tcBorders>
              <w:left w:val="nil"/>
              <w:bottom w:val="nil"/>
              <w:right w:val="nil"/>
            </w:tcBorders>
            <w:shd w:val="clear" w:color="auto" w:fill="auto"/>
            <w:vAlign w:val="center"/>
          </w:tcPr>
          <w:p w:rsidR="00A01C9D" w:rsidRPr="00B10181" w:rsidRDefault="00A01C9D" w:rsidP="00402807">
            <w:pPr>
              <w:pStyle w:val="TCTableBody"/>
              <w:jc w:val="center"/>
            </w:pPr>
            <w:r w:rsidRPr="00B10181">
              <w:rPr>
                <w:rFonts w:ascii="Times New Roman" w:hAnsi="Times New Roman"/>
                <w:szCs w:val="24"/>
              </w:rPr>
              <w:t>34 ± 3</w:t>
            </w:r>
          </w:p>
        </w:tc>
        <w:tc>
          <w:tcPr>
            <w:tcW w:w="1417" w:type="dxa"/>
            <w:vMerge w:val="restart"/>
            <w:tcBorders>
              <w:left w:val="nil"/>
              <w:right w:val="nil"/>
            </w:tcBorders>
            <w:shd w:val="clear" w:color="auto" w:fill="auto"/>
            <w:vAlign w:val="center"/>
          </w:tcPr>
          <w:p w:rsidR="00A01C9D" w:rsidRPr="00B10181" w:rsidRDefault="00A01C9D" w:rsidP="00402807">
            <w:pPr>
              <w:pStyle w:val="TCTableBody"/>
              <w:jc w:val="center"/>
            </w:pPr>
            <w:r w:rsidRPr="00B10181">
              <w:rPr>
                <w:rFonts w:ascii="Times New Roman" w:hAnsi="Times New Roman"/>
                <w:szCs w:val="24"/>
              </w:rPr>
              <w:t>0.15 ± 0.01</w:t>
            </w:r>
          </w:p>
        </w:tc>
        <w:tc>
          <w:tcPr>
            <w:tcW w:w="747" w:type="dxa"/>
            <w:gridSpan w:val="2"/>
            <w:tcBorders>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6A4B82" w:rsidRPr="00B10181" w:rsidRDefault="006A4B82" w:rsidP="006877C7">
            <w:pPr>
              <w:pStyle w:val="TCTableBody"/>
              <w:jc w:val="center"/>
            </w:pPr>
            <w:r w:rsidRPr="00B10181">
              <w:rPr>
                <w:color w:val="000000"/>
              </w:rPr>
              <w:noBreakHyphen/>
              <w:t>9.5</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6A4B82" w:rsidRPr="00B10181" w:rsidRDefault="006A4B82" w:rsidP="006877C7">
            <w:pPr>
              <w:pStyle w:val="TCTableBody"/>
              <w:jc w:val="center"/>
            </w:pPr>
            <w:r w:rsidRPr="00B10181">
              <w:rPr>
                <w:color w:val="000000"/>
              </w:rPr>
              <w:noBreakHyphen/>
              <w:t>11.0</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bottom w:val="nil"/>
              <w:right w:val="nil"/>
            </w:tcBorders>
            <w:shd w:val="clear" w:color="auto" w:fill="auto"/>
          </w:tcPr>
          <w:p w:rsidR="00572B0E" w:rsidRPr="00B10181" w:rsidRDefault="00572B0E"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bottom w:val="nil"/>
              <w:right w:val="nil"/>
            </w:tcBorders>
            <w:shd w:val="clear" w:color="auto" w:fill="auto"/>
          </w:tcPr>
          <w:p w:rsidR="00572B0E" w:rsidRPr="00B10181" w:rsidRDefault="00572B0E" w:rsidP="00645136">
            <w:pPr>
              <w:pStyle w:val="TCTableBody"/>
              <w:jc w:val="center"/>
            </w:pPr>
          </w:p>
        </w:tc>
        <w:tc>
          <w:tcPr>
            <w:tcW w:w="1985" w:type="dxa"/>
            <w:tcBorders>
              <w:top w:val="nil"/>
              <w:left w:val="nil"/>
              <w:bottom w:val="nil"/>
              <w:right w:val="nil"/>
            </w:tcBorders>
            <w:shd w:val="clear" w:color="auto" w:fill="auto"/>
          </w:tcPr>
          <w:p w:rsidR="00A01C9D" w:rsidRPr="00B10181" w:rsidRDefault="00A01C9D" w:rsidP="006877C7">
            <w:pPr>
              <w:pStyle w:val="TCTableBody"/>
              <w:jc w:val="center"/>
            </w:pPr>
            <w:r w:rsidRPr="00B10181">
              <w:rPr>
                <w:color w:val="000000"/>
              </w:rPr>
              <w:noBreakHyphen/>
              <w:t>12.5</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bottom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572B0E" w:rsidRPr="00B10181" w:rsidTr="006877C7">
        <w:tc>
          <w:tcPr>
            <w:tcW w:w="1101" w:type="dxa"/>
            <w:tcBorders>
              <w:top w:val="nil"/>
              <w:left w:val="nil"/>
              <w:right w:val="nil"/>
            </w:tcBorders>
            <w:shd w:val="clear" w:color="auto" w:fill="auto"/>
          </w:tcPr>
          <w:p w:rsidR="00572B0E" w:rsidRPr="00B10181" w:rsidRDefault="00572B0E" w:rsidP="00645136">
            <w:pPr>
              <w:pStyle w:val="TCTableBody"/>
              <w:jc w:val="center"/>
            </w:pPr>
            <w:r w:rsidRPr="00B10181">
              <w:t>313.15</w:t>
            </w:r>
          </w:p>
        </w:tc>
        <w:tc>
          <w:tcPr>
            <w:tcW w:w="1417" w:type="dxa"/>
            <w:vMerge/>
            <w:tcBorders>
              <w:top w:val="nil"/>
              <w:left w:val="nil"/>
              <w:right w:val="nil"/>
            </w:tcBorders>
            <w:shd w:val="clear" w:color="auto" w:fill="auto"/>
            <w:vAlign w:val="center"/>
          </w:tcPr>
          <w:p w:rsidR="00572B0E" w:rsidRPr="00B10181" w:rsidRDefault="00572B0E" w:rsidP="00645136">
            <w:pPr>
              <w:pStyle w:val="TCTableBody"/>
              <w:jc w:val="center"/>
            </w:pPr>
          </w:p>
        </w:tc>
        <w:tc>
          <w:tcPr>
            <w:tcW w:w="992" w:type="dxa"/>
            <w:vMerge/>
            <w:tcBorders>
              <w:top w:val="nil"/>
              <w:left w:val="nil"/>
              <w:right w:val="nil"/>
            </w:tcBorders>
            <w:shd w:val="clear" w:color="auto" w:fill="auto"/>
          </w:tcPr>
          <w:p w:rsidR="00572B0E" w:rsidRPr="00B10181" w:rsidRDefault="00572B0E" w:rsidP="00645136">
            <w:pPr>
              <w:pStyle w:val="TCTableBody"/>
              <w:jc w:val="center"/>
            </w:pPr>
          </w:p>
        </w:tc>
        <w:tc>
          <w:tcPr>
            <w:tcW w:w="1985" w:type="dxa"/>
            <w:tcBorders>
              <w:top w:val="nil"/>
              <w:left w:val="nil"/>
              <w:right w:val="nil"/>
            </w:tcBorders>
            <w:shd w:val="clear" w:color="auto" w:fill="auto"/>
          </w:tcPr>
          <w:p w:rsidR="00A01C9D" w:rsidRPr="00B10181" w:rsidRDefault="00A01C9D" w:rsidP="00A01C9D">
            <w:pPr>
              <w:pStyle w:val="TCTableBody"/>
              <w:jc w:val="center"/>
              <w:rPr>
                <w:rFonts w:ascii="Times New Roman" w:hAnsi="Times New Roman"/>
                <w:szCs w:val="24"/>
              </w:rPr>
            </w:pPr>
            <w:r w:rsidRPr="00B10181">
              <w:rPr>
                <w:color w:val="000000"/>
              </w:rPr>
              <w:noBreakHyphen/>
              <w:t>13.7</w:t>
            </w:r>
            <w:r w:rsidRPr="00B10181">
              <w:rPr>
                <w:rFonts w:ascii="Times New Roman" w:hAnsi="Times New Roman"/>
                <w:szCs w:val="24"/>
              </w:rPr>
              <w:t xml:space="preserve"> ± 0.3</w:t>
            </w:r>
          </w:p>
        </w:tc>
        <w:tc>
          <w:tcPr>
            <w:tcW w:w="1843" w:type="dxa"/>
            <w:vMerge/>
            <w:tcBorders>
              <w:top w:val="nil"/>
              <w:left w:val="nil"/>
              <w:right w:val="nil"/>
            </w:tcBorders>
            <w:shd w:val="clear" w:color="auto" w:fill="auto"/>
            <w:vAlign w:val="center"/>
          </w:tcPr>
          <w:p w:rsidR="00572B0E" w:rsidRPr="00B10181" w:rsidRDefault="00572B0E" w:rsidP="00645136">
            <w:pPr>
              <w:pStyle w:val="TCTableBody"/>
              <w:jc w:val="center"/>
            </w:pPr>
          </w:p>
        </w:tc>
        <w:tc>
          <w:tcPr>
            <w:tcW w:w="1417" w:type="dxa"/>
            <w:vMerge/>
            <w:tcBorders>
              <w:left w:val="nil"/>
              <w:right w:val="nil"/>
            </w:tcBorders>
            <w:shd w:val="clear" w:color="auto" w:fill="auto"/>
            <w:vAlign w:val="center"/>
          </w:tcPr>
          <w:p w:rsidR="00572B0E" w:rsidRPr="00B10181" w:rsidRDefault="00572B0E" w:rsidP="00645136">
            <w:pPr>
              <w:pStyle w:val="TCTableBody"/>
              <w:jc w:val="center"/>
            </w:pPr>
          </w:p>
        </w:tc>
        <w:tc>
          <w:tcPr>
            <w:tcW w:w="747" w:type="dxa"/>
            <w:gridSpan w:val="2"/>
            <w:tcBorders>
              <w:top w:val="nil"/>
              <w:left w:val="nil"/>
              <w:right w:val="nil"/>
            </w:tcBorders>
            <w:shd w:val="clear" w:color="auto" w:fill="auto"/>
            <w:vAlign w:val="center"/>
          </w:tcPr>
          <w:p w:rsidR="00572B0E" w:rsidRPr="00B10181" w:rsidRDefault="00572B0E" w:rsidP="00645136">
            <w:pPr>
              <w:spacing w:after="0"/>
              <w:jc w:val="right"/>
              <w:rPr>
                <w:rFonts w:ascii="Times New Roman" w:hAnsi="Times New Roman"/>
                <w:szCs w:val="24"/>
              </w:rPr>
            </w:pPr>
          </w:p>
        </w:tc>
      </w:tr>
      <w:tr w:rsidR="00645136" w:rsidRPr="00B10181" w:rsidTr="00645136">
        <w:trPr>
          <w:gridAfter w:val="1"/>
          <w:wAfter w:w="30" w:type="dxa"/>
        </w:trPr>
        <w:tc>
          <w:tcPr>
            <w:tcW w:w="9472" w:type="dxa"/>
            <w:gridSpan w:val="7"/>
            <w:tcBorders>
              <w:left w:val="nil"/>
              <w:bottom w:val="single" w:sz="4" w:space="0" w:color="auto"/>
              <w:right w:val="nil"/>
            </w:tcBorders>
            <w:shd w:val="clear" w:color="auto" w:fill="auto"/>
            <w:vAlign w:val="center"/>
          </w:tcPr>
          <w:p w:rsidR="00645136" w:rsidRPr="00B10181" w:rsidRDefault="00645136" w:rsidP="00645136">
            <w:pPr>
              <w:pStyle w:val="TCTableBody"/>
              <w:jc w:val="center"/>
            </w:pPr>
            <w:r w:rsidRPr="00B10181">
              <w:rPr>
                <w:i/>
              </w:rPr>
              <w:t>polar АA</w:t>
            </w:r>
          </w:p>
        </w:tc>
      </w:tr>
      <w:tr w:rsidR="00A1007F" w:rsidRPr="00B10181" w:rsidTr="006877C7">
        <w:tc>
          <w:tcPr>
            <w:tcW w:w="1101" w:type="dxa"/>
            <w:tcBorders>
              <w:left w:val="nil"/>
              <w:bottom w:val="nil"/>
              <w:right w:val="nil"/>
            </w:tcBorders>
            <w:shd w:val="clear" w:color="auto" w:fill="auto"/>
          </w:tcPr>
          <w:p w:rsidR="00A1007F" w:rsidRPr="00B10181" w:rsidRDefault="00A1007F"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r w:rsidRPr="00B10181">
              <w:object w:dxaOrig="741" w:dyaOrig="765">
                <v:shape id="_x0000_i1035" type="#_x0000_t75" style="width:36pt;height:36pt" o:ole="">
                  <v:imagedata r:id="rId34" o:title=""/>
                </v:shape>
                <o:OLEObject Type="Embed" ProgID="ChemDraw.Document.6.0" ShapeID="_x0000_i1035" DrawAspect="Content" ObjectID="_1606303030" r:id="rId35"/>
              </w:object>
            </w:r>
          </w:p>
        </w:tc>
        <w:tc>
          <w:tcPr>
            <w:tcW w:w="992"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proofErr w:type="spellStart"/>
            <w:r w:rsidRPr="00B10181">
              <w:t>Asn</w:t>
            </w:r>
            <w:proofErr w:type="spellEnd"/>
          </w:p>
        </w:tc>
        <w:tc>
          <w:tcPr>
            <w:tcW w:w="1985" w:type="dxa"/>
            <w:tcBorders>
              <w:left w:val="nil"/>
              <w:bottom w:val="nil"/>
              <w:right w:val="nil"/>
            </w:tcBorders>
            <w:shd w:val="clear" w:color="auto" w:fill="auto"/>
          </w:tcPr>
          <w:p w:rsidR="00A01C9D" w:rsidRPr="00B10181" w:rsidRDefault="00A01C9D" w:rsidP="006877C7">
            <w:pPr>
              <w:pStyle w:val="TCTableBody"/>
              <w:jc w:val="center"/>
              <w:rPr>
                <w:color w:val="000000"/>
              </w:rPr>
            </w:pPr>
            <w:r w:rsidRPr="00B10181">
              <w:rPr>
                <w:color w:val="000000"/>
              </w:rPr>
              <w:noBreakHyphen/>
              <w:t>7.3</w:t>
            </w:r>
            <w:r w:rsidRPr="00B10181">
              <w:rPr>
                <w:rFonts w:ascii="Times New Roman" w:hAnsi="Times New Roman"/>
                <w:szCs w:val="24"/>
              </w:rPr>
              <w:t xml:space="preserve"> ± 0.4</w:t>
            </w:r>
          </w:p>
        </w:tc>
        <w:tc>
          <w:tcPr>
            <w:tcW w:w="1843" w:type="dxa"/>
            <w:vMerge w:val="restart"/>
            <w:tcBorders>
              <w:left w:val="nil"/>
              <w:bottom w:val="nil"/>
              <w:right w:val="nil"/>
            </w:tcBorders>
            <w:shd w:val="clear" w:color="auto" w:fill="auto"/>
            <w:vAlign w:val="center"/>
          </w:tcPr>
          <w:p w:rsidR="00164EAF" w:rsidRPr="00B10181" w:rsidRDefault="00164EAF" w:rsidP="006F5A67">
            <w:pPr>
              <w:pStyle w:val="TCTableBody"/>
              <w:jc w:val="center"/>
            </w:pPr>
            <w:r w:rsidRPr="00B10181">
              <w:rPr>
                <w:rFonts w:ascii="Times New Roman" w:hAnsi="Times New Roman"/>
                <w:szCs w:val="24"/>
              </w:rPr>
              <w:t>50 ± 10</w:t>
            </w:r>
          </w:p>
        </w:tc>
        <w:tc>
          <w:tcPr>
            <w:tcW w:w="1417" w:type="dxa"/>
            <w:vMerge w:val="restart"/>
            <w:tcBorders>
              <w:left w:val="nil"/>
              <w:right w:val="nil"/>
            </w:tcBorders>
            <w:shd w:val="clear" w:color="auto" w:fill="auto"/>
            <w:vAlign w:val="center"/>
          </w:tcPr>
          <w:p w:rsidR="00164EAF" w:rsidRPr="00B10181" w:rsidRDefault="00164EAF" w:rsidP="00402807">
            <w:pPr>
              <w:pStyle w:val="TCTableBody"/>
              <w:jc w:val="center"/>
            </w:pPr>
            <w:r w:rsidRPr="00B10181">
              <w:rPr>
                <w:rFonts w:ascii="Times New Roman" w:hAnsi="Times New Roman"/>
                <w:szCs w:val="24"/>
              </w:rPr>
              <w:t>0.21 ± 0.04</w:t>
            </w:r>
          </w:p>
        </w:tc>
        <w:tc>
          <w:tcPr>
            <w:tcW w:w="747" w:type="dxa"/>
            <w:gridSpan w:val="2"/>
            <w:tcBorders>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A01C9D" w:rsidRPr="00B10181" w:rsidRDefault="00A01C9D" w:rsidP="006877C7">
            <w:pPr>
              <w:pStyle w:val="TCTableBody"/>
              <w:jc w:val="center"/>
              <w:rPr>
                <w:color w:val="000000"/>
              </w:rPr>
            </w:pPr>
            <w:r w:rsidRPr="00B10181">
              <w:rPr>
                <w:color w:val="000000"/>
              </w:rPr>
              <w:noBreakHyphen/>
              <w:t>7.7</w:t>
            </w:r>
            <w:r w:rsidRPr="00B10181">
              <w:rPr>
                <w:rFonts w:ascii="Times New Roman" w:hAnsi="Times New Roman"/>
                <w:szCs w:val="24"/>
              </w:rPr>
              <w:t xml:space="preserve"> ± 0.5</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A01C9D" w:rsidRPr="00B10181" w:rsidRDefault="00A01C9D" w:rsidP="006877C7">
            <w:pPr>
              <w:pStyle w:val="TCTableBody"/>
              <w:jc w:val="center"/>
              <w:rPr>
                <w:color w:val="000000"/>
              </w:rPr>
            </w:pPr>
            <w:r w:rsidRPr="00B10181">
              <w:rPr>
                <w:color w:val="000000"/>
              </w:rPr>
              <w:noBreakHyphen/>
              <w:t>10.0</w:t>
            </w:r>
            <w:r w:rsidRPr="00B10181">
              <w:rPr>
                <w:rFonts w:ascii="Times New Roman" w:hAnsi="Times New Roman"/>
                <w:szCs w:val="24"/>
              </w:rPr>
              <w:t xml:space="preserve"> ± 0.5</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A01C9D" w:rsidRPr="00B10181" w:rsidRDefault="00A01C9D" w:rsidP="006877C7">
            <w:pPr>
              <w:pStyle w:val="TCTableBody"/>
              <w:jc w:val="center"/>
              <w:rPr>
                <w:color w:val="000000"/>
              </w:rPr>
            </w:pPr>
            <w:r w:rsidRPr="00B10181">
              <w:rPr>
                <w:color w:val="000000"/>
              </w:rPr>
              <w:noBreakHyphen/>
              <w:t>12.4</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single" w:sz="4" w:space="0" w:color="auto"/>
              <w:right w:val="nil"/>
            </w:tcBorders>
            <w:shd w:val="clear" w:color="auto" w:fill="auto"/>
          </w:tcPr>
          <w:p w:rsidR="00A1007F" w:rsidRPr="00B10181" w:rsidRDefault="00A1007F"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single" w:sz="4" w:space="0" w:color="auto"/>
              <w:right w:val="nil"/>
            </w:tcBorders>
            <w:shd w:val="clear" w:color="auto" w:fill="auto"/>
          </w:tcPr>
          <w:p w:rsidR="00A1007F" w:rsidRPr="00B10181" w:rsidRDefault="00A1007F" w:rsidP="00645136">
            <w:pPr>
              <w:pStyle w:val="TCTableBody"/>
              <w:jc w:val="center"/>
            </w:pPr>
          </w:p>
        </w:tc>
        <w:tc>
          <w:tcPr>
            <w:tcW w:w="1985" w:type="dxa"/>
            <w:tcBorders>
              <w:top w:val="nil"/>
              <w:left w:val="nil"/>
              <w:bottom w:val="single" w:sz="4" w:space="0" w:color="auto"/>
              <w:right w:val="nil"/>
            </w:tcBorders>
            <w:shd w:val="clear" w:color="auto" w:fill="auto"/>
          </w:tcPr>
          <w:p w:rsidR="00164EAF" w:rsidRPr="00B10181" w:rsidRDefault="00164EAF" w:rsidP="006877C7">
            <w:pPr>
              <w:pStyle w:val="TCTableBody"/>
              <w:jc w:val="center"/>
              <w:rPr>
                <w:color w:val="000000"/>
              </w:rPr>
            </w:pPr>
            <w:r w:rsidRPr="00B10181">
              <w:rPr>
                <w:color w:val="000000"/>
              </w:rPr>
              <w:noBreakHyphen/>
              <w:t>15.4</w:t>
            </w:r>
            <w:r w:rsidRPr="00B10181">
              <w:rPr>
                <w:rFonts w:ascii="Times New Roman" w:hAnsi="Times New Roman"/>
                <w:szCs w:val="24"/>
              </w:rPr>
              <w:t xml:space="preserve"> ± 0.2</w:t>
            </w:r>
          </w:p>
        </w:tc>
        <w:tc>
          <w:tcPr>
            <w:tcW w:w="1843"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single" w:sz="4" w:space="0" w:color="auto"/>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left w:val="nil"/>
              <w:bottom w:val="nil"/>
              <w:right w:val="nil"/>
            </w:tcBorders>
            <w:shd w:val="clear" w:color="auto" w:fill="auto"/>
          </w:tcPr>
          <w:p w:rsidR="00A1007F" w:rsidRPr="00B10181" w:rsidRDefault="00A1007F"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r w:rsidRPr="00B10181">
              <w:object w:dxaOrig="742" w:dyaOrig="1054">
                <v:shape id="_x0000_i1036" type="#_x0000_t75" style="width:36pt;height:51.15pt" o:ole="">
                  <v:imagedata r:id="rId36" o:title=""/>
                </v:shape>
                <o:OLEObject Type="Embed" ProgID="ChemDraw.Document.6.0" ShapeID="_x0000_i1036" DrawAspect="Content" ObjectID="_1606303031" r:id="rId37"/>
              </w:object>
            </w:r>
          </w:p>
        </w:tc>
        <w:tc>
          <w:tcPr>
            <w:tcW w:w="992"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proofErr w:type="spellStart"/>
            <w:r w:rsidRPr="00B10181">
              <w:t>Gln</w:t>
            </w:r>
            <w:proofErr w:type="spellEnd"/>
          </w:p>
        </w:tc>
        <w:tc>
          <w:tcPr>
            <w:tcW w:w="1985" w:type="dxa"/>
            <w:tcBorders>
              <w:left w:val="nil"/>
              <w:bottom w:val="nil"/>
              <w:right w:val="nil"/>
            </w:tcBorders>
            <w:shd w:val="clear" w:color="auto" w:fill="auto"/>
          </w:tcPr>
          <w:p w:rsidR="00F568D9" w:rsidRPr="00B10181" w:rsidRDefault="00F568D9" w:rsidP="006877C7">
            <w:pPr>
              <w:pStyle w:val="TCTableBody"/>
              <w:jc w:val="center"/>
              <w:rPr>
                <w:color w:val="000000"/>
              </w:rPr>
            </w:pPr>
            <w:r w:rsidRPr="00B10181">
              <w:rPr>
                <w:color w:val="000000"/>
              </w:rPr>
              <w:noBreakHyphen/>
              <w:t>8.9</w:t>
            </w:r>
            <w:r w:rsidRPr="00B10181">
              <w:rPr>
                <w:rFonts w:ascii="Times New Roman" w:hAnsi="Times New Roman"/>
                <w:szCs w:val="24"/>
              </w:rPr>
              <w:t xml:space="preserve"> ± 0.3</w:t>
            </w:r>
          </w:p>
        </w:tc>
        <w:tc>
          <w:tcPr>
            <w:tcW w:w="1843" w:type="dxa"/>
            <w:vMerge w:val="restart"/>
            <w:tcBorders>
              <w:left w:val="nil"/>
              <w:bottom w:val="nil"/>
              <w:right w:val="nil"/>
            </w:tcBorders>
            <w:shd w:val="clear" w:color="auto" w:fill="auto"/>
            <w:vAlign w:val="center"/>
          </w:tcPr>
          <w:p w:rsidR="00F568D9" w:rsidRPr="00B10181" w:rsidRDefault="00F568D9" w:rsidP="006F5A67">
            <w:pPr>
              <w:pStyle w:val="TCTableBody"/>
              <w:jc w:val="center"/>
            </w:pPr>
            <w:r w:rsidRPr="00B10181">
              <w:rPr>
                <w:rFonts w:ascii="Times New Roman" w:hAnsi="Times New Roman"/>
                <w:szCs w:val="24"/>
              </w:rPr>
              <w:t>20 ± 30</w:t>
            </w:r>
          </w:p>
        </w:tc>
        <w:tc>
          <w:tcPr>
            <w:tcW w:w="1417" w:type="dxa"/>
            <w:vMerge w:val="restart"/>
            <w:tcBorders>
              <w:left w:val="nil"/>
              <w:right w:val="nil"/>
            </w:tcBorders>
            <w:shd w:val="clear" w:color="auto" w:fill="auto"/>
            <w:vAlign w:val="center"/>
          </w:tcPr>
          <w:p w:rsidR="00F568D9" w:rsidRPr="00B10181" w:rsidRDefault="00F568D9" w:rsidP="00402807">
            <w:pPr>
              <w:pStyle w:val="TCTableBody"/>
              <w:jc w:val="center"/>
            </w:pPr>
            <w:r w:rsidRPr="00B10181">
              <w:rPr>
                <w:rFonts w:ascii="Times New Roman" w:hAnsi="Times New Roman"/>
                <w:szCs w:val="24"/>
              </w:rPr>
              <w:t>0.10 ± 0.09</w:t>
            </w:r>
          </w:p>
        </w:tc>
        <w:tc>
          <w:tcPr>
            <w:tcW w:w="717" w:type="dxa"/>
            <w:tcBorders>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F568D9" w:rsidRPr="00B10181" w:rsidRDefault="00F568D9" w:rsidP="006877C7">
            <w:pPr>
              <w:pStyle w:val="TCTableBody"/>
              <w:jc w:val="center"/>
              <w:rPr>
                <w:color w:val="000000"/>
              </w:rPr>
            </w:pPr>
            <w:r w:rsidRPr="00B10181">
              <w:rPr>
                <w:color w:val="000000"/>
              </w:rPr>
              <w:noBreakHyphen/>
              <w:t>11.2</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F568D9" w:rsidRPr="00B10181" w:rsidRDefault="00F568D9" w:rsidP="006877C7">
            <w:pPr>
              <w:pStyle w:val="TCTableBody"/>
              <w:jc w:val="center"/>
              <w:rPr>
                <w:color w:val="000000"/>
              </w:rPr>
            </w:pPr>
            <w:r w:rsidRPr="00B10181">
              <w:rPr>
                <w:color w:val="000000"/>
              </w:rPr>
              <w:noBreakHyphen/>
              <w:t>7.9</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F568D9" w:rsidRPr="00B10181" w:rsidRDefault="00F568D9" w:rsidP="006877C7">
            <w:pPr>
              <w:pStyle w:val="TCTableBody"/>
              <w:jc w:val="center"/>
              <w:rPr>
                <w:color w:val="000000"/>
              </w:rPr>
            </w:pPr>
            <w:r w:rsidRPr="00B10181">
              <w:rPr>
                <w:color w:val="000000"/>
              </w:rPr>
              <w:noBreakHyphen/>
              <w:t>12.5</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single" w:sz="4" w:space="0" w:color="auto"/>
              <w:right w:val="nil"/>
            </w:tcBorders>
            <w:shd w:val="clear" w:color="auto" w:fill="auto"/>
          </w:tcPr>
          <w:p w:rsidR="00A1007F" w:rsidRPr="00B10181" w:rsidRDefault="00A1007F"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single" w:sz="4" w:space="0" w:color="auto"/>
              <w:right w:val="nil"/>
            </w:tcBorders>
            <w:shd w:val="clear" w:color="auto" w:fill="auto"/>
          </w:tcPr>
          <w:p w:rsidR="00A1007F" w:rsidRPr="00B10181" w:rsidRDefault="00A1007F" w:rsidP="00645136">
            <w:pPr>
              <w:pStyle w:val="TCTableBody"/>
              <w:jc w:val="center"/>
            </w:pPr>
          </w:p>
        </w:tc>
        <w:tc>
          <w:tcPr>
            <w:tcW w:w="1985" w:type="dxa"/>
            <w:tcBorders>
              <w:top w:val="nil"/>
              <w:left w:val="nil"/>
              <w:bottom w:val="single" w:sz="4" w:space="0" w:color="auto"/>
              <w:right w:val="nil"/>
            </w:tcBorders>
            <w:shd w:val="clear" w:color="auto" w:fill="auto"/>
          </w:tcPr>
          <w:p w:rsidR="00F568D9" w:rsidRPr="00B10181" w:rsidRDefault="00F568D9" w:rsidP="006877C7">
            <w:pPr>
              <w:pStyle w:val="TCTableBody"/>
              <w:jc w:val="center"/>
              <w:rPr>
                <w:color w:val="000000"/>
              </w:rPr>
            </w:pPr>
            <w:r w:rsidRPr="00B10181">
              <w:rPr>
                <w:color w:val="000000"/>
              </w:rPr>
              <w:noBreakHyphen/>
              <w:t>13.4</w:t>
            </w:r>
            <w:r w:rsidRPr="00B10181">
              <w:rPr>
                <w:rFonts w:ascii="Times New Roman" w:hAnsi="Times New Roman"/>
                <w:szCs w:val="24"/>
              </w:rPr>
              <w:t xml:space="preserve"> ± 0.3</w:t>
            </w:r>
          </w:p>
        </w:tc>
        <w:tc>
          <w:tcPr>
            <w:tcW w:w="1843"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single" w:sz="4" w:space="0" w:color="auto"/>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left w:val="nil"/>
              <w:bottom w:val="nil"/>
              <w:right w:val="nil"/>
            </w:tcBorders>
            <w:shd w:val="clear" w:color="auto" w:fill="auto"/>
          </w:tcPr>
          <w:p w:rsidR="00A1007F" w:rsidRPr="00B10181" w:rsidRDefault="00A1007F"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r w:rsidRPr="00B10181">
              <w:object w:dxaOrig="446" w:dyaOrig="722">
                <v:shape id="_x0000_i1037" type="#_x0000_t75" style="width:20.85pt;height:36pt" o:ole="">
                  <v:imagedata r:id="rId38" o:title=""/>
                </v:shape>
                <o:OLEObject Type="Embed" ProgID="ChemDraw.Document.6.0" ShapeID="_x0000_i1037" DrawAspect="Content" ObjectID="_1606303032" r:id="rId39"/>
              </w:object>
            </w:r>
          </w:p>
        </w:tc>
        <w:tc>
          <w:tcPr>
            <w:tcW w:w="992"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proofErr w:type="spellStart"/>
            <w:r w:rsidRPr="00B10181">
              <w:t>Ser</w:t>
            </w:r>
            <w:proofErr w:type="spellEnd"/>
          </w:p>
        </w:tc>
        <w:tc>
          <w:tcPr>
            <w:tcW w:w="1985" w:type="dxa"/>
            <w:tcBorders>
              <w:left w:val="nil"/>
              <w:bottom w:val="nil"/>
              <w:right w:val="nil"/>
            </w:tcBorders>
            <w:shd w:val="clear" w:color="auto" w:fill="auto"/>
          </w:tcPr>
          <w:p w:rsidR="00F568D9" w:rsidRPr="00B10181" w:rsidRDefault="00F568D9" w:rsidP="006877C7">
            <w:pPr>
              <w:pStyle w:val="TCTableBody"/>
              <w:jc w:val="center"/>
              <w:rPr>
                <w:color w:val="000000"/>
              </w:rPr>
            </w:pPr>
            <w:r w:rsidRPr="00B10181">
              <w:rPr>
                <w:color w:val="000000"/>
              </w:rPr>
              <w:noBreakHyphen/>
              <w:t>16.8</w:t>
            </w:r>
            <w:r w:rsidRPr="00B10181">
              <w:rPr>
                <w:rFonts w:ascii="Times New Roman" w:hAnsi="Times New Roman"/>
                <w:szCs w:val="24"/>
              </w:rPr>
              <w:t xml:space="preserve"> ± 0.1</w:t>
            </w:r>
          </w:p>
        </w:tc>
        <w:tc>
          <w:tcPr>
            <w:tcW w:w="1843" w:type="dxa"/>
            <w:vMerge w:val="restart"/>
            <w:tcBorders>
              <w:left w:val="nil"/>
              <w:bottom w:val="nil"/>
              <w:right w:val="nil"/>
            </w:tcBorders>
            <w:shd w:val="clear" w:color="auto" w:fill="auto"/>
            <w:vAlign w:val="center"/>
          </w:tcPr>
          <w:p w:rsidR="00CC4670" w:rsidRPr="00B10181" w:rsidRDefault="00CC4670" w:rsidP="006F5A67">
            <w:pPr>
              <w:pStyle w:val="TCTableBody"/>
              <w:jc w:val="center"/>
            </w:pPr>
            <w:r w:rsidRPr="00B10181">
              <w:rPr>
                <w:rFonts w:ascii="Times New Roman" w:hAnsi="Times New Roman"/>
                <w:szCs w:val="24"/>
              </w:rPr>
              <w:t>20</w:t>
            </w:r>
            <w:r w:rsidRPr="00B10181">
              <w:rPr>
                <w:rFonts w:ascii="Times New Roman" w:hAnsi="Times New Roman"/>
                <w:szCs w:val="24"/>
                <w:lang w:val="ru-RU"/>
              </w:rPr>
              <w:t xml:space="preserve"> </w:t>
            </w:r>
            <w:r w:rsidRPr="00B10181">
              <w:rPr>
                <w:rFonts w:ascii="Times New Roman" w:hAnsi="Times New Roman"/>
                <w:szCs w:val="24"/>
              </w:rPr>
              <w:t>± 10</w:t>
            </w:r>
          </w:p>
        </w:tc>
        <w:tc>
          <w:tcPr>
            <w:tcW w:w="1417" w:type="dxa"/>
            <w:vMerge w:val="restart"/>
            <w:tcBorders>
              <w:left w:val="nil"/>
              <w:right w:val="nil"/>
            </w:tcBorders>
            <w:shd w:val="clear" w:color="auto" w:fill="auto"/>
            <w:vAlign w:val="center"/>
          </w:tcPr>
          <w:p w:rsidR="00CC4670" w:rsidRPr="00B10181" w:rsidRDefault="00CC4670" w:rsidP="00402807">
            <w:pPr>
              <w:pStyle w:val="TCTableBody"/>
              <w:jc w:val="center"/>
            </w:pPr>
            <w:r w:rsidRPr="00B10181">
              <w:rPr>
                <w:rFonts w:ascii="Times New Roman" w:hAnsi="Times New Roman"/>
                <w:szCs w:val="24"/>
              </w:rPr>
              <w:t>0.14 ± 0.03</w:t>
            </w:r>
          </w:p>
        </w:tc>
        <w:tc>
          <w:tcPr>
            <w:tcW w:w="717" w:type="dxa"/>
            <w:tcBorders>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F568D9" w:rsidRPr="00B10181" w:rsidRDefault="00F568D9" w:rsidP="006877C7">
            <w:pPr>
              <w:pStyle w:val="TCTableBody"/>
              <w:jc w:val="center"/>
              <w:rPr>
                <w:color w:val="000000"/>
              </w:rPr>
            </w:pPr>
            <w:r w:rsidRPr="00B10181">
              <w:rPr>
                <w:color w:val="000000"/>
              </w:rPr>
              <w:noBreakHyphen/>
              <w:t>16.7</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CC4670" w:rsidRPr="00B10181" w:rsidRDefault="00CC4670" w:rsidP="006877C7">
            <w:pPr>
              <w:pStyle w:val="TCTableBody"/>
              <w:jc w:val="center"/>
              <w:rPr>
                <w:color w:val="000000"/>
              </w:rPr>
            </w:pPr>
            <w:r w:rsidRPr="00B10181">
              <w:rPr>
                <w:color w:val="000000"/>
              </w:rPr>
              <w:noBreakHyphen/>
              <w:t>18.1</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CC4670" w:rsidRPr="00B10181" w:rsidRDefault="00CC4670" w:rsidP="006877C7">
            <w:pPr>
              <w:pStyle w:val="TCTableBody"/>
              <w:jc w:val="center"/>
              <w:rPr>
                <w:color w:val="000000"/>
              </w:rPr>
            </w:pPr>
            <w:r w:rsidRPr="00B10181">
              <w:rPr>
                <w:color w:val="000000"/>
              </w:rPr>
              <w:noBreakHyphen/>
              <w:t>20.3</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single" w:sz="4" w:space="0" w:color="auto"/>
              <w:right w:val="nil"/>
            </w:tcBorders>
            <w:shd w:val="clear" w:color="auto" w:fill="auto"/>
          </w:tcPr>
          <w:p w:rsidR="00A1007F" w:rsidRPr="00B10181" w:rsidRDefault="00A1007F"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single" w:sz="4" w:space="0" w:color="auto"/>
              <w:right w:val="nil"/>
            </w:tcBorders>
            <w:shd w:val="clear" w:color="auto" w:fill="auto"/>
          </w:tcPr>
          <w:p w:rsidR="00A1007F" w:rsidRPr="00B10181" w:rsidRDefault="00A1007F" w:rsidP="00645136">
            <w:pPr>
              <w:pStyle w:val="TCTableBody"/>
              <w:jc w:val="center"/>
            </w:pPr>
          </w:p>
        </w:tc>
        <w:tc>
          <w:tcPr>
            <w:tcW w:w="1985" w:type="dxa"/>
            <w:tcBorders>
              <w:top w:val="nil"/>
              <w:left w:val="nil"/>
              <w:bottom w:val="single" w:sz="4" w:space="0" w:color="auto"/>
              <w:right w:val="nil"/>
            </w:tcBorders>
            <w:shd w:val="clear" w:color="auto" w:fill="auto"/>
          </w:tcPr>
          <w:p w:rsidR="00CC4670" w:rsidRPr="00B10181" w:rsidRDefault="00CC4670" w:rsidP="006877C7">
            <w:pPr>
              <w:pStyle w:val="TCTableBody"/>
              <w:jc w:val="center"/>
              <w:rPr>
                <w:color w:val="000000"/>
              </w:rPr>
            </w:pPr>
            <w:r w:rsidRPr="00B10181">
              <w:rPr>
                <w:color w:val="000000"/>
              </w:rPr>
              <w:noBreakHyphen/>
              <w:t>21.8</w:t>
            </w:r>
            <w:r w:rsidRPr="00B10181">
              <w:rPr>
                <w:rFonts w:ascii="Times New Roman" w:hAnsi="Times New Roman"/>
                <w:szCs w:val="24"/>
              </w:rPr>
              <w:t xml:space="preserve"> ± 0.3</w:t>
            </w:r>
          </w:p>
        </w:tc>
        <w:tc>
          <w:tcPr>
            <w:tcW w:w="1843"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single" w:sz="4" w:space="0" w:color="auto"/>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single" w:sz="4" w:space="0" w:color="auto"/>
              <w:left w:val="nil"/>
              <w:bottom w:val="nil"/>
              <w:right w:val="nil"/>
            </w:tcBorders>
            <w:shd w:val="clear" w:color="auto" w:fill="auto"/>
          </w:tcPr>
          <w:p w:rsidR="00A1007F" w:rsidRPr="00B10181" w:rsidRDefault="00A1007F" w:rsidP="00645136">
            <w:pPr>
              <w:pStyle w:val="TCTableBody"/>
              <w:jc w:val="center"/>
            </w:pPr>
            <w:r w:rsidRPr="00B10181">
              <w:t>273.15</w:t>
            </w:r>
          </w:p>
        </w:tc>
        <w:tc>
          <w:tcPr>
            <w:tcW w:w="1417" w:type="dxa"/>
            <w:vMerge w:val="restart"/>
            <w:tcBorders>
              <w:top w:val="single" w:sz="4" w:space="0" w:color="auto"/>
              <w:left w:val="nil"/>
              <w:bottom w:val="nil"/>
              <w:right w:val="nil"/>
            </w:tcBorders>
            <w:shd w:val="clear" w:color="auto" w:fill="auto"/>
            <w:vAlign w:val="center"/>
          </w:tcPr>
          <w:p w:rsidR="00A1007F" w:rsidRPr="00B10181" w:rsidRDefault="00A1007F" w:rsidP="00645136">
            <w:pPr>
              <w:pStyle w:val="TCTableBody"/>
              <w:jc w:val="center"/>
            </w:pPr>
            <w:r w:rsidRPr="00B10181">
              <w:object w:dxaOrig="1018" w:dyaOrig="722">
                <v:shape id="_x0000_i1038" type="#_x0000_t75" style="width:51.15pt;height:36pt" o:ole="">
                  <v:imagedata r:id="rId40" o:title=""/>
                </v:shape>
                <o:OLEObject Type="Embed" ProgID="ChemDraw.Document.6.0" ShapeID="_x0000_i1038" DrawAspect="Content" ObjectID="_1606303033" r:id="rId41"/>
              </w:object>
            </w:r>
          </w:p>
        </w:tc>
        <w:tc>
          <w:tcPr>
            <w:tcW w:w="992" w:type="dxa"/>
            <w:vMerge w:val="restart"/>
            <w:tcBorders>
              <w:top w:val="single" w:sz="4" w:space="0" w:color="auto"/>
              <w:left w:val="nil"/>
              <w:bottom w:val="nil"/>
              <w:right w:val="nil"/>
            </w:tcBorders>
            <w:shd w:val="clear" w:color="auto" w:fill="auto"/>
            <w:vAlign w:val="center"/>
          </w:tcPr>
          <w:p w:rsidR="00A1007F" w:rsidRPr="00B10181" w:rsidRDefault="00A1007F" w:rsidP="00645136">
            <w:pPr>
              <w:pStyle w:val="TCTableBody"/>
              <w:jc w:val="center"/>
            </w:pPr>
            <w:proofErr w:type="spellStart"/>
            <w:r w:rsidRPr="00B10181">
              <w:t>Thr</w:t>
            </w:r>
            <w:proofErr w:type="spellEnd"/>
          </w:p>
        </w:tc>
        <w:tc>
          <w:tcPr>
            <w:tcW w:w="1985" w:type="dxa"/>
            <w:tcBorders>
              <w:top w:val="single" w:sz="4" w:space="0" w:color="auto"/>
              <w:left w:val="nil"/>
              <w:bottom w:val="nil"/>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11.8</w:t>
            </w:r>
            <w:r w:rsidRPr="00B10181">
              <w:rPr>
                <w:rFonts w:ascii="Times New Roman" w:hAnsi="Times New Roman"/>
                <w:szCs w:val="24"/>
              </w:rPr>
              <w:t xml:space="preserve"> ± 0.1</w:t>
            </w:r>
          </w:p>
        </w:tc>
        <w:tc>
          <w:tcPr>
            <w:tcW w:w="1843" w:type="dxa"/>
            <w:vMerge w:val="restart"/>
            <w:tcBorders>
              <w:top w:val="single" w:sz="4" w:space="0" w:color="auto"/>
              <w:left w:val="nil"/>
              <w:bottom w:val="nil"/>
              <w:right w:val="nil"/>
            </w:tcBorders>
            <w:shd w:val="clear" w:color="auto" w:fill="auto"/>
            <w:vAlign w:val="center"/>
          </w:tcPr>
          <w:p w:rsidR="00763982" w:rsidRPr="00B10181" w:rsidRDefault="00763982" w:rsidP="006F5A67">
            <w:pPr>
              <w:pStyle w:val="TCTableBody"/>
              <w:jc w:val="center"/>
            </w:pPr>
            <w:r w:rsidRPr="00B10181">
              <w:rPr>
                <w:rFonts w:ascii="Times New Roman" w:hAnsi="Times New Roman"/>
                <w:szCs w:val="24"/>
              </w:rPr>
              <w:t>2</w:t>
            </w:r>
            <w:r w:rsidRPr="00B10181">
              <w:rPr>
                <w:rFonts w:ascii="Times New Roman" w:hAnsi="Times New Roman"/>
                <w:szCs w:val="24"/>
                <w:lang w:val="ru-RU"/>
              </w:rPr>
              <w:t>6</w:t>
            </w:r>
            <w:r w:rsidRPr="00B10181">
              <w:rPr>
                <w:rFonts w:ascii="Times New Roman" w:hAnsi="Times New Roman"/>
                <w:szCs w:val="24"/>
              </w:rPr>
              <w:t xml:space="preserve"> ± 9</w:t>
            </w:r>
          </w:p>
        </w:tc>
        <w:tc>
          <w:tcPr>
            <w:tcW w:w="1417" w:type="dxa"/>
            <w:vMerge w:val="restart"/>
            <w:tcBorders>
              <w:top w:val="single" w:sz="4" w:space="0" w:color="auto"/>
              <w:left w:val="nil"/>
              <w:right w:val="nil"/>
            </w:tcBorders>
            <w:shd w:val="clear" w:color="auto" w:fill="auto"/>
            <w:vAlign w:val="center"/>
          </w:tcPr>
          <w:p w:rsidR="00763982" w:rsidRPr="00B10181" w:rsidRDefault="00763982" w:rsidP="00402807">
            <w:pPr>
              <w:pStyle w:val="TCTableBody"/>
              <w:jc w:val="center"/>
            </w:pPr>
            <w:r w:rsidRPr="00B10181">
              <w:rPr>
                <w:rFonts w:ascii="Times New Roman" w:hAnsi="Times New Roman"/>
                <w:szCs w:val="24"/>
              </w:rPr>
              <w:t>0.14 ± 0.03</w:t>
            </w:r>
          </w:p>
        </w:tc>
        <w:tc>
          <w:tcPr>
            <w:tcW w:w="717" w:type="dxa"/>
            <w:tcBorders>
              <w:top w:val="single" w:sz="4" w:space="0" w:color="auto"/>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lastRenderedPageBreak/>
              <w:t>283.15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12.4</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14.3</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14.7</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gridAfter w:val="1"/>
          <w:wAfter w:w="30" w:type="dxa"/>
        </w:trPr>
        <w:tc>
          <w:tcPr>
            <w:tcW w:w="1101" w:type="dxa"/>
            <w:tcBorders>
              <w:top w:val="nil"/>
              <w:left w:val="nil"/>
              <w:bottom w:val="single" w:sz="4" w:space="0" w:color="auto"/>
              <w:right w:val="nil"/>
            </w:tcBorders>
            <w:shd w:val="clear" w:color="auto" w:fill="auto"/>
          </w:tcPr>
          <w:p w:rsidR="00A1007F" w:rsidRPr="00B10181" w:rsidRDefault="00A1007F"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single" w:sz="4" w:space="0" w:color="auto"/>
              <w:right w:val="nil"/>
            </w:tcBorders>
            <w:shd w:val="clear" w:color="auto" w:fill="auto"/>
          </w:tcPr>
          <w:p w:rsidR="00A1007F" w:rsidRPr="00B10181" w:rsidRDefault="00A1007F" w:rsidP="00645136">
            <w:pPr>
              <w:pStyle w:val="TCTableBody"/>
              <w:jc w:val="center"/>
            </w:pPr>
          </w:p>
        </w:tc>
        <w:tc>
          <w:tcPr>
            <w:tcW w:w="1985" w:type="dxa"/>
            <w:tcBorders>
              <w:top w:val="nil"/>
              <w:left w:val="nil"/>
              <w:bottom w:val="single" w:sz="4" w:space="0" w:color="auto"/>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17.4</w:t>
            </w:r>
            <w:r w:rsidRPr="00B10181">
              <w:rPr>
                <w:rFonts w:ascii="Times New Roman" w:hAnsi="Times New Roman"/>
                <w:szCs w:val="24"/>
              </w:rPr>
              <w:t xml:space="preserve"> ± 0.3</w:t>
            </w:r>
          </w:p>
        </w:tc>
        <w:tc>
          <w:tcPr>
            <w:tcW w:w="1843"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717" w:type="dxa"/>
            <w:tcBorders>
              <w:top w:val="nil"/>
              <w:left w:val="nil"/>
              <w:bottom w:val="single" w:sz="4" w:space="0" w:color="auto"/>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645136" w:rsidRPr="00B10181" w:rsidTr="00645136">
        <w:trPr>
          <w:gridAfter w:val="1"/>
          <w:wAfter w:w="30" w:type="dxa"/>
        </w:trPr>
        <w:tc>
          <w:tcPr>
            <w:tcW w:w="9472" w:type="dxa"/>
            <w:gridSpan w:val="7"/>
            <w:tcBorders>
              <w:left w:val="nil"/>
              <w:bottom w:val="single" w:sz="4" w:space="0" w:color="auto"/>
              <w:right w:val="nil"/>
            </w:tcBorders>
            <w:shd w:val="clear" w:color="auto" w:fill="auto"/>
            <w:vAlign w:val="center"/>
          </w:tcPr>
          <w:p w:rsidR="00645136" w:rsidRPr="00B10181" w:rsidRDefault="00645136" w:rsidP="00645136">
            <w:pPr>
              <w:pStyle w:val="TCTableBody"/>
              <w:jc w:val="center"/>
            </w:pPr>
            <w:r w:rsidRPr="00B10181">
              <w:rPr>
                <w:i/>
              </w:rPr>
              <w:t>charged АA</w:t>
            </w:r>
          </w:p>
        </w:tc>
      </w:tr>
      <w:tr w:rsidR="00A1007F" w:rsidRPr="00B10181" w:rsidTr="006877C7">
        <w:tc>
          <w:tcPr>
            <w:tcW w:w="1101" w:type="dxa"/>
            <w:tcBorders>
              <w:left w:val="nil"/>
              <w:bottom w:val="nil"/>
              <w:right w:val="nil"/>
            </w:tcBorders>
            <w:shd w:val="clear" w:color="auto" w:fill="auto"/>
          </w:tcPr>
          <w:p w:rsidR="00A1007F" w:rsidRPr="00B10181" w:rsidRDefault="00A1007F"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r w:rsidRPr="00B10181">
              <w:object w:dxaOrig="657" w:dyaOrig="917">
                <v:shape id="_x0000_i1039" type="#_x0000_t75" style="width:36pt;height:43.6pt" o:ole="">
                  <v:imagedata r:id="rId42" o:title=""/>
                </v:shape>
                <o:OLEObject Type="Embed" ProgID="ChemDraw.Document.6.0" ShapeID="_x0000_i1039" DrawAspect="Content" ObjectID="_1606303034" r:id="rId43"/>
              </w:object>
            </w:r>
          </w:p>
        </w:tc>
        <w:tc>
          <w:tcPr>
            <w:tcW w:w="992"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r w:rsidRPr="00B10181">
              <w:t>Lys</w:t>
            </w:r>
          </w:p>
        </w:tc>
        <w:tc>
          <w:tcPr>
            <w:tcW w:w="1985" w:type="dxa"/>
            <w:tcBorders>
              <w:left w:val="nil"/>
              <w:bottom w:val="nil"/>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15.7</w:t>
            </w:r>
            <w:r w:rsidRPr="00B10181">
              <w:rPr>
                <w:rFonts w:ascii="Times New Roman" w:hAnsi="Times New Roman"/>
                <w:szCs w:val="24"/>
              </w:rPr>
              <w:t xml:space="preserve"> ± 0.4</w:t>
            </w:r>
          </w:p>
        </w:tc>
        <w:tc>
          <w:tcPr>
            <w:tcW w:w="1843" w:type="dxa"/>
            <w:vMerge w:val="restart"/>
            <w:tcBorders>
              <w:left w:val="nil"/>
              <w:bottom w:val="nil"/>
              <w:right w:val="nil"/>
            </w:tcBorders>
            <w:shd w:val="clear" w:color="auto" w:fill="auto"/>
            <w:vAlign w:val="center"/>
          </w:tcPr>
          <w:p w:rsidR="00763982" w:rsidRPr="00B10181" w:rsidRDefault="00763982" w:rsidP="00402807">
            <w:pPr>
              <w:pStyle w:val="TCTableBody"/>
              <w:jc w:val="center"/>
            </w:pPr>
            <w:r w:rsidRPr="00B10181">
              <w:rPr>
                <w:rFonts w:ascii="Times New Roman" w:hAnsi="Times New Roman"/>
                <w:szCs w:val="24"/>
              </w:rPr>
              <w:t>20 ± 20</w:t>
            </w:r>
          </w:p>
        </w:tc>
        <w:tc>
          <w:tcPr>
            <w:tcW w:w="1417" w:type="dxa"/>
            <w:vMerge w:val="restart"/>
            <w:tcBorders>
              <w:left w:val="nil"/>
              <w:right w:val="nil"/>
            </w:tcBorders>
            <w:shd w:val="clear" w:color="auto" w:fill="auto"/>
            <w:vAlign w:val="center"/>
          </w:tcPr>
          <w:p w:rsidR="00763982" w:rsidRPr="00B10181" w:rsidRDefault="00763982" w:rsidP="00402807">
            <w:pPr>
              <w:pStyle w:val="TCTableBody"/>
              <w:jc w:val="center"/>
            </w:pPr>
            <w:r w:rsidRPr="00B10181">
              <w:rPr>
                <w:rFonts w:ascii="Times New Roman" w:hAnsi="Times New Roman"/>
                <w:szCs w:val="24"/>
              </w:rPr>
              <w:t>0.13 ± 0.06</w:t>
            </w:r>
          </w:p>
        </w:tc>
        <w:tc>
          <w:tcPr>
            <w:tcW w:w="747" w:type="dxa"/>
            <w:gridSpan w:val="2"/>
            <w:tcBorders>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16.2</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16.4</w:t>
            </w:r>
            <w:r w:rsidRPr="00B10181">
              <w:rPr>
                <w:rFonts w:ascii="Times New Roman" w:hAnsi="Times New Roman"/>
                <w:szCs w:val="24"/>
              </w:rPr>
              <w:t xml:space="preserve"> ± 0.6</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17.6</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single" w:sz="4" w:space="0" w:color="auto"/>
              <w:right w:val="nil"/>
            </w:tcBorders>
            <w:shd w:val="clear" w:color="auto" w:fill="auto"/>
          </w:tcPr>
          <w:p w:rsidR="00A1007F" w:rsidRPr="00B10181" w:rsidRDefault="00A1007F"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single" w:sz="4" w:space="0" w:color="auto"/>
              <w:right w:val="nil"/>
            </w:tcBorders>
            <w:shd w:val="clear" w:color="auto" w:fill="auto"/>
          </w:tcPr>
          <w:p w:rsidR="00A1007F" w:rsidRPr="00B10181" w:rsidRDefault="00A1007F" w:rsidP="00645136">
            <w:pPr>
              <w:pStyle w:val="TCTableBody"/>
              <w:jc w:val="center"/>
            </w:pPr>
          </w:p>
        </w:tc>
        <w:tc>
          <w:tcPr>
            <w:tcW w:w="1985" w:type="dxa"/>
            <w:tcBorders>
              <w:top w:val="nil"/>
              <w:left w:val="nil"/>
              <w:bottom w:val="single" w:sz="4" w:space="0" w:color="auto"/>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21.5</w:t>
            </w:r>
            <w:r w:rsidRPr="00B10181">
              <w:rPr>
                <w:rFonts w:ascii="Times New Roman" w:hAnsi="Times New Roman"/>
                <w:szCs w:val="24"/>
              </w:rPr>
              <w:t xml:space="preserve"> ± 0.6</w:t>
            </w:r>
          </w:p>
        </w:tc>
        <w:tc>
          <w:tcPr>
            <w:tcW w:w="1843"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single" w:sz="4" w:space="0" w:color="auto"/>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single" w:sz="4" w:space="0" w:color="auto"/>
              <w:left w:val="nil"/>
              <w:bottom w:val="nil"/>
              <w:right w:val="nil"/>
            </w:tcBorders>
            <w:shd w:val="clear" w:color="auto" w:fill="auto"/>
          </w:tcPr>
          <w:p w:rsidR="00A1007F" w:rsidRPr="00B10181" w:rsidRDefault="00A1007F" w:rsidP="00645136">
            <w:pPr>
              <w:pStyle w:val="TCTableBody"/>
              <w:jc w:val="center"/>
            </w:pPr>
            <w:r w:rsidRPr="00B10181">
              <w:t>273.15</w:t>
            </w:r>
          </w:p>
        </w:tc>
        <w:tc>
          <w:tcPr>
            <w:tcW w:w="1417" w:type="dxa"/>
            <w:vMerge w:val="restart"/>
            <w:tcBorders>
              <w:top w:val="single" w:sz="4" w:space="0" w:color="auto"/>
              <w:left w:val="nil"/>
              <w:bottom w:val="nil"/>
              <w:right w:val="nil"/>
            </w:tcBorders>
            <w:shd w:val="clear" w:color="auto" w:fill="auto"/>
            <w:vAlign w:val="center"/>
          </w:tcPr>
          <w:p w:rsidR="00A1007F" w:rsidRPr="00B10181" w:rsidRDefault="00A1007F" w:rsidP="00645136">
            <w:pPr>
              <w:pStyle w:val="TCTableBody"/>
              <w:jc w:val="center"/>
            </w:pPr>
            <w:r w:rsidRPr="00B10181">
              <w:object w:dxaOrig="1166" w:dyaOrig="1205">
                <v:shape id="_x0000_i1040" type="#_x0000_t75" style="width:56.85pt;height:58.75pt" o:ole="">
                  <v:imagedata r:id="rId44" o:title=""/>
                </v:shape>
                <o:OLEObject Type="Embed" ProgID="ChemDraw.Document.6.0" ShapeID="_x0000_i1040" DrawAspect="Content" ObjectID="_1606303035" r:id="rId45"/>
              </w:object>
            </w:r>
          </w:p>
        </w:tc>
        <w:tc>
          <w:tcPr>
            <w:tcW w:w="992" w:type="dxa"/>
            <w:vMerge w:val="restart"/>
            <w:tcBorders>
              <w:top w:val="single" w:sz="4" w:space="0" w:color="auto"/>
              <w:left w:val="nil"/>
              <w:bottom w:val="nil"/>
              <w:right w:val="nil"/>
            </w:tcBorders>
            <w:shd w:val="clear" w:color="auto" w:fill="auto"/>
            <w:vAlign w:val="center"/>
          </w:tcPr>
          <w:p w:rsidR="00A1007F" w:rsidRPr="00B10181" w:rsidRDefault="00A1007F" w:rsidP="00645136">
            <w:pPr>
              <w:pStyle w:val="TCTableBody"/>
              <w:jc w:val="center"/>
            </w:pPr>
            <w:proofErr w:type="spellStart"/>
            <w:r w:rsidRPr="00B10181">
              <w:t>Arg</w:t>
            </w:r>
            <w:proofErr w:type="spellEnd"/>
          </w:p>
        </w:tc>
        <w:tc>
          <w:tcPr>
            <w:tcW w:w="1985" w:type="dxa"/>
            <w:tcBorders>
              <w:top w:val="single" w:sz="4" w:space="0" w:color="auto"/>
              <w:left w:val="nil"/>
              <w:bottom w:val="nil"/>
              <w:right w:val="nil"/>
            </w:tcBorders>
            <w:shd w:val="clear" w:color="auto" w:fill="auto"/>
          </w:tcPr>
          <w:p w:rsidR="00763982" w:rsidRPr="00B10181" w:rsidRDefault="00763982" w:rsidP="00763982">
            <w:pPr>
              <w:pStyle w:val="TCTableBody"/>
              <w:jc w:val="center"/>
              <w:rPr>
                <w:rFonts w:ascii="Times New Roman" w:hAnsi="Times New Roman"/>
                <w:szCs w:val="24"/>
              </w:rPr>
            </w:pPr>
            <w:r w:rsidRPr="00B10181">
              <w:rPr>
                <w:color w:val="000000"/>
              </w:rPr>
              <w:noBreakHyphen/>
              <w:t>16.0</w:t>
            </w:r>
            <w:r w:rsidRPr="00B10181">
              <w:rPr>
                <w:rFonts w:ascii="Times New Roman" w:hAnsi="Times New Roman"/>
                <w:szCs w:val="24"/>
              </w:rPr>
              <w:t xml:space="preserve"> ± 0.5</w:t>
            </w:r>
          </w:p>
        </w:tc>
        <w:tc>
          <w:tcPr>
            <w:tcW w:w="1843" w:type="dxa"/>
            <w:vMerge w:val="restart"/>
            <w:tcBorders>
              <w:top w:val="single" w:sz="4" w:space="0" w:color="auto"/>
              <w:left w:val="nil"/>
              <w:bottom w:val="nil"/>
              <w:right w:val="nil"/>
            </w:tcBorders>
            <w:shd w:val="clear" w:color="auto" w:fill="auto"/>
            <w:vAlign w:val="center"/>
          </w:tcPr>
          <w:p w:rsidR="00792B4F" w:rsidRPr="00B10181" w:rsidRDefault="00792B4F" w:rsidP="006F5A67">
            <w:pPr>
              <w:pStyle w:val="TCTableBody"/>
              <w:jc w:val="center"/>
            </w:pPr>
            <w:r w:rsidRPr="00B10181">
              <w:rPr>
                <w:rFonts w:ascii="Times New Roman" w:hAnsi="Times New Roman"/>
                <w:szCs w:val="24"/>
              </w:rPr>
              <w:t>1</w:t>
            </w:r>
            <w:r w:rsidRPr="00B10181">
              <w:rPr>
                <w:rFonts w:ascii="Times New Roman" w:hAnsi="Times New Roman"/>
                <w:szCs w:val="24"/>
                <w:lang w:val="ru-RU"/>
              </w:rPr>
              <w:t>9</w:t>
            </w:r>
            <w:r w:rsidRPr="00B10181">
              <w:rPr>
                <w:rFonts w:ascii="Times New Roman" w:hAnsi="Times New Roman"/>
                <w:szCs w:val="24"/>
              </w:rPr>
              <w:t xml:space="preserve"> ± 8</w:t>
            </w:r>
          </w:p>
        </w:tc>
        <w:tc>
          <w:tcPr>
            <w:tcW w:w="1417" w:type="dxa"/>
            <w:vMerge w:val="restart"/>
            <w:tcBorders>
              <w:top w:val="single" w:sz="4" w:space="0" w:color="auto"/>
              <w:left w:val="nil"/>
              <w:right w:val="nil"/>
            </w:tcBorders>
            <w:shd w:val="clear" w:color="auto" w:fill="auto"/>
            <w:vAlign w:val="center"/>
          </w:tcPr>
          <w:p w:rsidR="00792B4F" w:rsidRPr="00B10181" w:rsidRDefault="00792B4F" w:rsidP="00402807">
            <w:pPr>
              <w:pStyle w:val="TCTableBody"/>
              <w:jc w:val="center"/>
            </w:pPr>
            <w:r w:rsidRPr="00B10181">
              <w:rPr>
                <w:rFonts w:ascii="Times New Roman" w:hAnsi="Times New Roman"/>
                <w:szCs w:val="24"/>
              </w:rPr>
              <w:t>0.13 ± 0.03</w:t>
            </w:r>
          </w:p>
        </w:tc>
        <w:tc>
          <w:tcPr>
            <w:tcW w:w="747" w:type="dxa"/>
            <w:gridSpan w:val="2"/>
            <w:tcBorders>
              <w:top w:val="single" w:sz="4" w:space="0" w:color="auto"/>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63982" w:rsidRPr="00B10181" w:rsidRDefault="00763982" w:rsidP="006877C7">
            <w:pPr>
              <w:pStyle w:val="TCTableBody"/>
              <w:jc w:val="center"/>
              <w:rPr>
                <w:color w:val="000000"/>
              </w:rPr>
            </w:pPr>
            <w:r w:rsidRPr="00B10181">
              <w:rPr>
                <w:color w:val="000000"/>
              </w:rPr>
              <w:noBreakHyphen/>
              <w:t>16.6</w:t>
            </w:r>
            <w:r w:rsidRPr="00B10181">
              <w:rPr>
                <w:rFonts w:ascii="Times New Roman" w:hAnsi="Times New Roman"/>
                <w:szCs w:val="24"/>
              </w:rPr>
              <w:t xml:space="preserve"> ± </w:t>
            </w:r>
            <w:r w:rsidR="00792B4F" w:rsidRPr="00B10181">
              <w:rPr>
                <w:rFonts w:ascii="Times New Roman" w:hAnsi="Times New Roman"/>
                <w:szCs w:val="24"/>
              </w:rPr>
              <w:t>0.5</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92B4F" w:rsidRPr="00B10181" w:rsidRDefault="00792B4F" w:rsidP="006877C7">
            <w:pPr>
              <w:pStyle w:val="TCTableBody"/>
              <w:jc w:val="center"/>
              <w:rPr>
                <w:color w:val="000000"/>
              </w:rPr>
            </w:pPr>
            <w:r w:rsidRPr="00B10181">
              <w:rPr>
                <w:color w:val="000000"/>
              </w:rPr>
              <w:noBreakHyphen/>
              <w:t>18.5</w:t>
            </w:r>
            <w:r w:rsidRPr="00B10181">
              <w:rPr>
                <w:rFonts w:ascii="Times New Roman" w:hAnsi="Times New Roman"/>
                <w:szCs w:val="24"/>
              </w:rPr>
              <w:t xml:space="preserve"> ± 0.5</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92B4F" w:rsidRPr="00B10181" w:rsidRDefault="00792B4F" w:rsidP="006877C7">
            <w:pPr>
              <w:pStyle w:val="TCTableBody"/>
              <w:jc w:val="center"/>
              <w:rPr>
                <w:color w:val="000000"/>
              </w:rPr>
            </w:pPr>
            <w:r w:rsidRPr="00B10181">
              <w:rPr>
                <w:color w:val="000000"/>
              </w:rPr>
              <w:noBreakHyphen/>
              <w:t>20.3</w:t>
            </w:r>
            <w:r w:rsidRPr="00B10181">
              <w:rPr>
                <w:rFonts w:ascii="Times New Roman" w:hAnsi="Times New Roman"/>
                <w:szCs w:val="24"/>
              </w:rPr>
              <w:t xml:space="preserve"> ± 0.4</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rPr>
          <w:trHeight w:val="609"/>
        </w:trPr>
        <w:tc>
          <w:tcPr>
            <w:tcW w:w="1101" w:type="dxa"/>
            <w:tcBorders>
              <w:top w:val="nil"/>
              <w:left w:val="nil"/>
              <w:bottom w:val="single" w:sz="4" w:space="0" w:color="auto"/>
              <w:right w:val="nil"/>
            </w:tcBorders>
            <w:shd w:val="clear" w:color="auto" w:fill="auto"/>
          </w:tcPr>
          <w:p w:rsidR="00A1007F" w:rsidRPr="00B10181" w:rsidRDefault="00A1007F"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single" w:sz="4" w:space="0" w:color="auto"/>
              <w:right w:val="nil"/>
            </w:tcBorders>
            <w:shd w:val="clear" w:color="auto" w:fill="auto"/>
          </w:tcPr>
          <w:p w:rsidR="00A1007F" w:rsidRPr="00B10181" w:rsidRDefault="00A1007F" w:rsidP="00645136">
            <w:pPr>
              <w:pStyle w:val="TCTableBody"/>
              <w:jc w:val="center"/>
            </w:pPr>
          </w:p>
        </w:tc>
        <w:tc>
          <w:tcPr>
            <w:tcW w:w="1985" w:type="dxa"/>
            <w:tcBorders>
              <w:top w:val="nil"/>
              <w:left w:val="nil"/>
              <w:bottom w:val="single" w:sz="4" w:space="0" w:color="auto"/>
              <w:right w:val="nil"/>
            </w:tcBorders>
            <w:shd w:val="clear" w:color="auto" w:fill="auto"/>
          </w:tcPr>
          <w:p w:rsidR="00792B4F" w:rsidRPr="00B10181" w:rsidRDefault="00792B4F" w:rsidP="006877C7">
            <w:pPr>
              <w:pStyle w:val="TCTableBody"/>
              <w:jc w:val="center"/>
              <w:rPr>
                <w:color w:val="000000"/>
              </w:rPr>
            </w:pPr>
            <w:r w:rsidRPr="00B10181">
              <w:rPr>
                <w:color w:val="000000"/>
              </w:rPr>
              <w:noBreakHyphen/>
              <w:t>20.4</w:t>
            </w:r>
            <w:r w:rsidRPr="00B10181">
              <w:rPr>
                <w:rFonts w:ascii="Times New Roman" w:hAnsi="Times New Roman"/>
                <w:szCs w:val="24"/>
              </w:rPr>
              <w:t xml:space="preserve"> ± 0.3</w:t>
            </w:r>
          </w:p>
        </w:tc>
        <w:tc>
          <w:tcPr>
            <w:tcW w:w="1843"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single" w:sz="4" w:space="0" w:color="auto"/>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left w:val="nil"/>
              <w:bottom w:val="nil"/>
              <w:right w:val="nil"/>
            </w:tcBorders>
            <w:shd w:val="clear" w:color="auto" w:fill="auto"/>
          </w:tcPr>
          <w:p w:rsidR="00A1007F" w:rsidRPr="00B10181" w:rsidRDefault="00A1007F"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r w:rsidRPr="00B10181">
              <w:object w:dxaOrig="662" w:dyaOrig="722">
                <v:shape id="_x0000_i1041" type="#_x0000_t75" style="width:36pt;height:36pt" o:ole="">
                  <v:imagedata r:id="rId46" o:title=""/>
                </v:shape>
                <o:OLEObject Type="Embed" ProgID="ChemDraw.Document.6.0" ShapeID="_x0000_i1041" DrawAspect="Content" ObjectID="_1606303036" r:id="rId47"/>
              </w:object>
            </w:r>
          </w:p>
        </w:tc>
        <w:tc>
          <w:tcPr>
            <w:tcW w:w="992"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r w:rsidRPr="00B10181">
              <w:t>Asp</w:t>
            </w:r>
          </w:p>
        </w:tc>
        <w:tc>
          <w:tcPr>
            <w:tcW w:w="1985" w:type="dxa"/>
            <w:tcBorders>
              <w:left w:val="nil"/>
              <w:bottom w:val="nil"/>
              <w:right w:val="nil"/>
            </w:tcBorders>
            <w:shd w:val="clear" w:color="auto" w:fill="auto"/>
          </w:tcPr>
          <w:p w:rsidR="00724C10" w:rsidRPr="00B10181" w:rsidRDefault="00724C10" w:rsidP="006877C7">
            <w:pPr>
              <w:pStyle w:val="TCTableBody"/>
              <w:jc w:val="center"/>
              <w:rPr>
                <w:color w:val="000000"/>
              </w:rPr>
            </w:pPr>
            <w:r w:rsidRPr="00B10181">
              <w:rPr>
                <w:color w:val="000000"/>
              </w:rPr>
              <w:noBreakHyphen/>
              <w:t>4.4</w:t>
            </w:r>
            <w:r w:rsidRPr="00B10181">
              <w:rPr>
                <w:rFonts w:ascii="Times New Roman" w:hAnsi="Times New Roman"/>
                <w:szCs w:val="24"/>
              </w:rPr>
              <w:t xml:space="preserve"> ± 0.5</w:t>
            </w:r>
          </w:p>
        </w:tc>
        <w:tc>
          <w:tcPr>
            <w:tcW w:w="1843" w:type="dxa"/>
            <w:vMerge w:val="restart"/>
            <w:tcBorders>
              <w:left w:val="nil"/>
              <w:bottom w:val="nil"/>
              <w:right w:val="nil"/>
            </w:tcBorders>
            <w:shd w:val="clear" w:color="auto" w:fill="auto"/>
            <w:vAlign w:val="center"/>
          </w:tcPr>
          <w:p w:rsidR="00724C10" w:rsidRPr="00B10181" w:rsidRDefault="00724C10" w:rsidP="006F5A67">
            <w:pPr>
              <w:pStyle w:val="TCTableBody"/>
              <w:jc w:val="center"/>
            </w:pPr>
            <w:r w:rsidRPr="00B10181">
              <w:rPr>
                <w:rFonts w:ascii="Times New Roman" w:hAnsi="Times New Roman"/>
                <w:szCs w:val="24"/>
              </w:rPr>
              <w:t>20 ± 10</w:t>
            </w:r>
          </w:p>
        </w:tc>
        <w:tc>
          <w:tcPr>
            <w:tcW w:w="1417" w:type="dxa"/>
            <w:vMerge w:val="restart"/>
            <w:tcBorders>
              <w:left w:val="nil"/>
              <w:right w:val="nil"/>
            </w:tcBorders>
            <w:shd w:val="clear" w:color="auto" w:fill="auto"/>
            <w:vAlign w:val="center"/>
          </w:tcPr>
          <w:p w:rsidR="00724C10" w:rsidRPr="00B10181" w:rsidRDefault="00724C10" w:rsidP="00402807">
            <w:pPr>
              <w:pStyle w:val="TCTableBody"/>
              <w:jc w:val="center"/>
            </w:pPr>
            <w:r w:rsidRPr="00B10181">
              <w:rPr>
                <w:rFonts w:ascii="Times New Roman" w:hAnsi="Times New Roman"/>
                <w:szCs w:val="24"/>
              </w:rPr>
              <w:t>0.08 ± 0.04</w:t>
            </w:r>
          </w:p>
        </w:tc>
        <w:tc>
          <w:tcPr>
            <w:tcW w:w="747" w:type="dxa"/>
            <w:gridSpan w:val="2"/>
            <w:tcBorders>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24C10" w:rsidRPr="00B10181" w:rsidRDefault="00724C10" w:rsidP="006877C7">
            <w:pPr>
              <w:pStyle w:val="TCTableBody"/>
              <w:jc w:val="center"/>
              <w:rPr>
                <w:color w:val="000000"/>
              </w:rPr>
            </w:pPr>
            <w:r w:rsidRPr="00B10181">
              <w:rPr>
                <w:color w:val="000000"/>
              </w:rPr>
              <w:noBreakHyphen/>
              <w:t>6.7</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24C10" w:rsidRPr="00B10181" w:rsidRDefault="00724C10" w:rsidP="006877C7">
            <w:pPr>
              <w:pStyle w:val="TCTableBody"/>
              <w:jc w:val="center"/>
              <w:rPr>
                <w:color w:val="000000"/>
              </w:rPr>
            </w:pPr>
            <w:r w:rsidRPr="00B10181">
              <w:rPr>
                <w:color w:val="000000"/>
              </w:rPr>
              <w:noBreakHyphen/>
              <w:t>8.0</w:t>
            </w:r>
            <w:r w:rsidRPr="00B10181">
              <w:rPr>
                <w:rFonts w:ascii="Times New Roman" w:hAnsi="Times New Roman"/>
                <w:szCs w:val="24"/>
              </w:rPr>
              <w:t xml:space="preserve"> ± 0.3</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24C10" w:rsidRPr="00B10181" w:rsidRDefault="00724C10" w:rsidP="006877C7">
            <w:pPr>
              <w:pStyle w:val="TCTableBody"/>
              <w:jc w:val="center"/>
              <w:rPr>
                <w:color w:val="000000"/>
              </w:rPr>
            </w:pPr>
            <w:r w:rsidRPr="00B10181">
              <w:rPr>
                <w:color w:val="000000"/>
              </w:rPr>
              <w:noBreakHyphen/>
              <w:t>8.1</w:t>
            </w:r>
            <w:r w:rsidRPr="00B10181">
              <w:rPr>
                <w:rFonts w:ascii="Times New Roman" w:hAnsi="Times New Roman"/>
                <w:szCs w:val="24"/>
              </w:rPr>
              <w:t xml:space="preserve"> ± 0.4</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single" w:sz="4" w:space="0" w:color="auto"/>
              <w:right w:val="nil"/>
            </w:tcBorders>
            <w:shd w:val="clear" w:color="auto" w:fill="auto"/>
          </w:tcPr>
          <w:p w:rsidR="00A1007F" w:rsidRPr="00B10181" w:rsidRDefault="00A1007F"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single" w:sz="4" w:space="0" w:color="auto"/>
              <w:right w:val="nil"/>
            </w:tcBorders>
            <w:shd w:val="clear" w:color="auto" w:fill="auto"/>
          </w:tcPr>
          <w:p w:rsidR="00A1007F" w:rsidRPr="00B10181" w:rsidRDefault="00A1007F" w:rsidP="00645136">
            <w:pPr>
              <w:pStyle w:val="TCTableBody"/>
              <w:jc w:val="center"/>
            </w:pPr>
          </w:p>
        </w:tc>
        <w:tc>
          <w:tcPr>
            <w:tcW w:w="1985" w:type="dxa"/>
            <w:tcBorders>
              <w:top w:val="nil"/>
              <w:left w:val="nil"/>
              <w:bottom w:val="single" w:sz="4" w:space="0" w:color="auto"/>
              <w:right w:val="nil"/>
            </w:tcBorders>
            <w:shd w:val="clear" w:color="auto" w:fill="auto"/>
          </w:tcPr>
          <w:p w:rsidR="00724C10" w:rsidRPr="00B10181" w:rsidRDefault="00724C10" w:rsidP="006877C7">
            <w:pPr>
              <w:pStyle w:val="TCTableBody"/>
              <w:jc w:val="center"/>
              <w:rPr>
                <w:color w:val="000000"/>
              </w:rPr>
            </w:pPr>
            <w:r w:rsidRPr="00B10181">
              <w:rPr>
                <w:color w:val="000000"/>
              </w:rPr>
              <w:noBreakHyphen/>
              <w:t>7.9</w:t>
            </w:r>
            <w:r w:rsidRPr="00B10181">
              <w:rPr>
                <w:rFonts w:ascii="Times New Roman" w:hAnsi="Times New Roman"/>
                <w:szCs w:val="24"/>
              </w:rPr>
              <w:t xml:space="preserve"> ± 0.4</w:t>
            </w:r>
          </w:p>
        </w:tc>
        <w:tc>
          <w:tcPr>
            <w:tcW w:w="1843"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single" w:sz="4" w:space="0" w:color="auto"/>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left w:val="nil"/>
              <w:bottom w:val="nil"/>
              <w:right w:val="nil"/>
            </w:tcBorders>
            <w:shd w:val="clear" w:color="auto" w:fill="auto"/>
          </w:tcPr>
          <w:p w:rsidR="00A1007F" w:rsidRPr="00B10181" w:rsidRDefault="00A1007F" w:rsidP="00645136">
            <w:pPr>
              <w:pStyle w:val="TCTableBody"/>
              <w:jc w:val="center"/>
            </w:pPr>
            <w:r w:rsidRPr="00B10181">
              <w:t>273.15</w:t>
            </w:r>
          </w:p>
        </w:tc>
        <w:tc>
          <w:tcPr>
            <w:tcW w:w="1417"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r w:rsidRPr="00B10181">
              <w:object w:dxaOrig="662" w:dyaOrig="1013">
                <v:shape id="_x0000_i1042" type="#_x0000_t75" style="width:36pt;height:51.15pt" o:ole="">
                  <v:imagedata r:id="rId48" o:title=""/>
                </v:shape>
                <o:OLEObject Type="Embed" ProgID="ChemDraw.Document.6.0" ShapeID="_x0000_i1042" DrawAspect="Content" ObjectID="_1606303037" r:id="rId49"/>
              </w:object>
            </w:r>
          </w:p>
        </w:tc>
        <w:tc>
          <w:tcPr>
            <w:tcW w:w="992" w:type="dxa"/>
            <w:vMerge w:val="restart"/>
            <w:tcBorders>
              <w:left w:val="nil"/>
              <w:bottom w:val="nil"/>
              <w:right w:val="nil"/>
            </w:tcBorders>
            <w:shd w:val="clear" w:color="auto" w:fill="auto"/>
            <w:vAlign w:val="center"/>
          </w:tcPr>
          <w:p w:rsidR="00A1007F" w:rsidRPr="00B10181" w:rsidRDefault="00A1007F" w:rsidP="00645136">
            <w:pPr>
              <w:pStyle w:val="TCTableBody"/>
              <w:jc w:val="center"/>
            </w:pPr>
            <w:proofErr w:type="spellStart"/>
            <w:r w:rsidRPr="00B10181">
              <w:t>Glu</w:t>
            </w:r>
            <w:proofErr w:type="spellEnd"/>
          </w:p>
        </w:tc>
        <w:tc>
          <w:tcPr>
            <w:tcW w:w="1985" w:type="dxa"/>
            <w:tcBorders>
              <w:left w:val="nil"/>
              <w:bottom w:val="nil"/>
              <w:right w:val="nil"/>
            </w:tcBorders>
            <w:shd w:val="clear" w:color="auto" w:fill="auto"/>
          </w:tcPr>
          <w:p w:rsidR="00724C10" w:rsidRPr="00B10181" w:rsidRDefault="00724C10" w:rsidP="006877C7">
            <w:pPr>
              <w:pStyle w:val="TCTableBody"/>
              <w:jc w:val="center"/>
              <w:rPr>
                <w:color w:val="000000"/>
              </w:rPr>
            </w:pPr>
            <w:r w:rsidRPr="00B10181">
              <w:rPr>
                <w:color w:val="000000"/>
              </w:rPr>
              <w:noBreakHyphen/>
              <w:t>5.7</w:t>
            </w:r>
            <w:r w:rsidRPr="00B10181">
              <w:rPr>
                <w:rFonts w:ascii="Times New Roman" w:hAnsi="Times New Roman"/>
                <w:szCs w:val="24"/>
              </w:rPr>
              <w:t xml:space="preserve"> ± 0.2</w:t>
            </w:r>
          </w:p>
        </w:tc>
        <w:tc>
          <w:tcPr>
            <w:tcW w:w="1843" w:type="dxa"/>
            <w:vMerge w:val="restart"/>
            <w:tcBorders>
              <w:left w:val="nil"/>
              <w:bottom w:val="nil"/>
              <w:right w:val="nil"/>
            </w:tcBorders>
            <w:shd w:val="clear" w:color="auto" w:fill="auto"/>
            <w:vAlign w:val="center"/>
          </w:tcPr>
          <w:p w:rsidR="00724C10" w:rsidRPr="00B10181" w:rsidRDefault="00724C10" w:rsidP="00402807">
            <w:pPr>
              <w:pStyle w:val="TCTableBody"/>
              <w:jc w:val="center"/>
            </w:pPr>
            <w:r w:rsidRPr="00B10181">
              <w:rPr>
                <w:rFonts w:ascii="Times New Roman" w:hAnsi="Times New Roman"/>
                <w:szCs w:val="24"/>
              </w:rPr>
              <w:t>2 ± 3</w:t>
            </w:r>
          </w:p>
        </w:tc>
        <w:tc>
          <w:tcPr>
            <w:tcW w:w="1417" w:type="dxa"/>
            <w:vMerge w:val="restart"/>
            <w:tcBorders>
              <w:left w:val="nil"/>
              <w:right w:val="nil"/>
            </w:tcBorders>
            <w:shd w:val="clear" w:color="auto" w:fill="auto"/>
            <w:vAlign w:val="center"/>
          </w:tcPr>
          <w:p w:rsidR="00A1007F" w:rsidRPr="00B10181" w:rsidRDefault="00A1007F" w:rsidP="00A1007F">
            <w:pPr>
              <w:pStyle w:val="TCTableBody"/>
              <w:jc w:val="center"/>
            </w:pPr>
            <w:r w:rsidRPr="00B10181">
              <w:rPr>
                <w:rFonts w:ascii="Times New Roman" w:hAnsi="Times New Roman"/>
                <w:szCs w:val="24"/>
              </w:rPr>
              <w:t>0.03 ± 0.01</w:t>
            </w:r>
          </w:p>
        </w:tc>
        <w:tc>
          <w:tcPr>
            <w:tcW w:w="747" w:type="dxa"/>
            <w:gridSpan w:val="2"/>
            <w:tcBorders>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283.15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24C10" w:rsidRPr="00B10181" w:rsidRDefault="00724C10" w:rsidP="006877C7">
            <w:pPr>
              <w:pStyle w:val="TCTableBody"/>
              <w:jc w:val="center"/>
              <w:rPr>
                <w:color w:val="000000"/>
              </w:rPr>
            </w:pPr>
            <w:r w:rsidRPr="00B10181">
              <w:rPr>
                <w:color w:val="000000"/>
              </w:rPr>
              <w:noBreakHyphen/>
              <w:t>5.8</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293.15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24C10" w:rsidRPr="00B10181" w:rsidRDefault="00724C10" w:rsidP="006877C7">
            <w:pPr>
              <w:pStyle w:val="TCTableBody"/>
              <w:jc w:val="center"/>
              <w:rPr>
                <w:color w:val="000000"/>
              </w:rPr>
            </w:pPr>
            <w:r w:rsidRPr="00B10181">
              <w:rPr>
                <w:color w:val="000000"/>
              </w:rPr>
              <w:noBreakHyphen/>
              <w:t>5.8</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nil"/>
              <w:right w:val="nil"/>
            </w:tcBorders>
            <w:shd w:val="clear" w:color="auto" w:fill="auto"/>
          </w:tcPr>
          <w:p w:rsidR="00A1007F" w:rsidRPr="00B10181" w:rsidRDefault="00A1007F" w:rsidP="00645136">
            <w:pPr>
              <w:pStyle w:val="TCTableBody"/>
              <w:jc w:val="center"/>
            </w:pPr>
            <w:r w:rsidRPr="00B10181">
              <w:t>303.15</w:t>
            </w:r>
          </w:p>
        </w:tc>
        <w:tc>
          <w:tcPr>
            <w:tcW w:w="1417"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nil"/>
              <w:right w:val="nil"/>
            </w:tcBorders>
            <w:shd w:val="clear" w:color="auto" w:fill="auto"/>
          </w:tcPr>
          <w:p w:rsidR="00A1007F" w:rsidRPr="00B10181" w:rsidRDefault="00A1007F" w:rsidP="00645136">
            <w:pPr>
              <w:pStyle w:val="TCTableBody"/>
              <w:jc w:val="center"/>
            </w:pPr>
          </w:p>
        </w:tc>
        <w:tc>
          <w:tcPr>
            <w:tcW w:w="1985" w:type="dxa"/>
            <w:tcBorders>
              <w:top w:val="nil"/>
              <w:left w:val="nil"/>
              <w:bottom w:val="nil"/>
              <w:right w:val="nil"/>
            </w:tcBorders>
            <w:shd w:val="clear" w:color="auto" w:fill="auto"/>
          </w:tcPr>
          <w:p w:rsidR="00724C10" w:rsidRPr="00B10181" w:rsidRDefault="00724C10" w:rsidP="006877C7">
            <w:pPr>
              <w:pStyle w:val="TCTableBody"/>
              <w:jc w:val="center"/>
              <w:rPr>
                <w:color w:val="000000"/>
              </w:rPr>
            </w:pPr>
            <w:r w:rsidRPr="00B10181">
              <w:rPr>
                <w:color w:val="000000"/>
              </w:rPr>
              <w:noBreakHyphen/>
              <w:t>6.5</w:t>
            </w:r>
            <w:r w:rsidRPr="00B10181">
              <w:rPr>
                <w:rFonts w:ascii="Times New Roman" w:hAnsi="Times New Roman"/>
                <w:szCs w:val="24"/>
              </w:rPr>
              <w:t xml:space="preserve"> ± 0.2</w:t>
            </w:r>
          </w:p>
        </w:tc>
        <w:tc>
          <w:tcPr>
            <w:tcW w:w="1843" w:type="dxa"/>
            <w:vMerge/>
            <w:tcBorders>
              <w:top w:val="nil"/>
              <w:left w:val="nil"/>
              <w:bottom w:val="nil"/>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nil"/>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r w:rsidR="00A1007F" w:rsidRPr="00B10181" w:rsidTr="006877C7">
        <w:tc>
          <w:tcPr>
            <w:tcW w:w="1101" w:type="dxa"/>
            <w:tcBorders>
              <w:top w:val="nil"/>
              <w:left w:val="nil"/>
              <w:bottom w:val="single" w:sz="4" w:space="0" w:color="auto"/>
              <w:right w:val="nil"/>
            </w:tcBorders>
            <w:shd w:val="clear" w:color="auto" w:fill="auto"/>
          </w:tcPr>
          <w:p w:rsidR="00A1007F" w:rsidRPr="00B10181" w:rsidRDefault="00A1007F" w:rsidP="00645136">
            <w:pPr>
              <w:pStyle w:val="TCTableBody"/>
              <w:jc w:val="center"/>
            </w:pPr>
            <w:r w:rsidRPr="00B10181">
              <w:t>313.15</w:t>
            </w:r>
          </w:p>
        </w:tc>
        <w:tc>
          <w:tcPr>
            <w:tcW w:w="1417"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992" w:type="dxa"/>
            <w:vMerge/>
            <w:tcBorders>
              <w:top w:val="nil"/>
              <w:left w:val="nil"/>
              <w:bottom w:val="single" w:sz="4" w:space="0" w:color="auto"/>
              <w:right w:val="nil"/>
            </w:tcBorders>
            <w:shd w:val="clear" w:color="auto" w:fill="auto"/>
          </w:tcPr>
          <w:p w:rsidR="00A1007F" w:rsidRPr="00B10181" w:rsidRDefault="00A1007F" w:rsidP="00645136">
            <w:pPr>
              <w:pStyle w:val="TCTableBody"/>
              <w:jc w:val="center"/>
            </w:pPr>
          </w:p>
        </w:tc>
        <w:tc>
          <w:tcPr>
            <w:tcW w:w="1985" w:type="dxa"/>
            <w:tcBorders>
              <w:top w:val="nil"/>
              <w:left w:val="nil"/>
              <w:bottom w:val="single" w:sz="4" w:space="0" w:color="auto"/>
              <w:right w:val="nil"/>
            </w:tcBorders>
            <w:shd w:val="clear" w:color="auto" w:fill="auto"/>
          </w:tcPr>
          <w:p w:rsidR="00724C10" w:rsidRPr="00B10181" w:rsidRDefault="00724C10" w:rsidP="00724C10">
            <w:pPr>
              <w:pStyle w:val="TCTableBody"/>
              <w:jc w:val="center"/>
              <w:rPr>
                <w:rFonts w:ascii="Times New Roman" w:hAnsi="Times New Roman"/>
                <w:szCs w:val="24"/>
              </w:rPr>
            </w:pPr>
            <w:r w:rsidRPr="00B10181">
              <w:rPr>
                <w:color w:val="000000"/>
              </w:rPr>
              <w:noBreakHyphen/>
              <w:t>6.7</w:t>
            </w:r>
            <w:r w:rsidRPr="00B10181">
              <w:rPr>
                <w:rFonts w:ascii="Times New Roman" w:hAnsi="Times New Roman"/>
                <w:szCs w:val="24"/>
              </w:rPr>
              <w:t xml:space="preserve"> ± 0.2</w:t>
            </w:r>
          </w:p>
        </w:tc>
        <w:tc>
          <w:tcPr>
            <w:tcW w:w="1843" w:type="dxa"/>
            <w:vMerge/>
            <w:tcBorders>
              <w:top w:val="nil"/>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1417" w:type="dxa"/>
            <w:vMerge/>
            <w:tcBorders>
              <w:left w:val="nil"/>
              <w:bottom w:val="single" w:sz="4" w:space="0" w:color="auto"/>
              <w:right w:val="nil"/>
            </w:tcBorders>
            <w:shd w:val="clear" w:color="auto" w:fill="auto"/>
            <w:vAlign w:val="center"/>
          </w:tcPr>
          <w:p w:rsidR="00A1007F" w:rsidRPr="00B10181" w:rsidRDefault="00A1007F" w:rsidP="00645136">
            <w:pPr>
              <w:pStyle w:val="TCTableBody"/>
              <w:jc w:val="center"/>
            </w:pPr>
          </w:p>
        </w:tc>
        <w:tc>
          <w:tcPr>
            <w:tcW w:w="747" w:type="dxa"/>
            <w:gridSpan w:val="2"/>
            <w:tcBorders>
              <w:top w:val="nil"/>
              <w:left w:val="nil"/>
              <w:bottom w:val="single" w:sz="4" w:space="0" w:color="auto"/>
              <w:right w:val="nil"/>
            </w:tcBorders>
            <w:shd w:val="clear" w:color="auto" w:fill="auto"/>
            <w:vAlign w:val="center"/>
          </w:tcPr>
          <w:p w:rsidR="00A1007F" w:rsidRPr="00B10181" w:rsidRDefault="00A1007F" w:rsidP="00645136">
            <w:pPr>
              <w:spacing w:after="0"/>
              <w:jc w:val="right"/>
              <w:rPr>
                <w:rFonts w:ascii="Times New Roman" w:hAnsi="Times New Roman"/>
                <w:szCs w:val="24"/>
              </w:rPr>
            </w:pPr>
          </w:p>
        </w:tc>
      </w:tr>
    </w:tbl>
    <w:p w:rsidR="00645136" w:rsidRPr="00645136" w:rsidRDefault="00645136" w:rsidP="00645136"/>
    <w:p w:rsidR="00FF302B" w:rsidRPr="00FF302B" w:rsidRDefault="00FF302B" w:rsidP="00FF302B">
      <w:pPr>
        <w:pStyle w:val="TAMainText"/>
      </w:pPr>
      <w:r w:rsidRPr="00FF302B">
        <w:t>Data shows that the amino acid adsorption on nanocrystalline TiO</w:t>
      </w:r>
      <w:r w:rsidRPr="00FF302B">
        <w:rPr>
          <w:vertAlign w:val="subscript"/>
        </w:rPr>
        <w:t>2</w:t>
      </w:r>
      <w:r w:rsidRPr="00FF302B">
        <w:t xml:space="preserve"> is a spontaneous process (ΔG</w:t>
      </w:r>
      <w:r w:rsidR="0087103F">
        <w:t> </w:t>
      </w:r>
      <w:r w:rsidRPr="00FF302B">
        <w:t>&lt;</w:t>
      </w:r>
      <w:r w:rsidR="0087103F">
        <w:t> </w:t>
      </w:r>
      <w:r w:rsidRPr="00FF302B">
        <w:t>0). The calculated value o</w:t>
      </w:r>
      <w:r>
        <w:t xml:space="preserve">f the Gibbs energy for His was </w:t>
      </w:r>
      <w:r>
        <w:noBreakHyphen/>
      </w:r>
      <w:r w:rsidRPr="00FF302B">
        <w:t>11.9</w:t>
      </w:r>
      <w:r w:rsidR="00CF0FF7">
        <w:t> </w:t>
      </w:r>
      <w:r w:rsidRPr="00FF302B">
        <w:t>kJ/</w:t>
      </w:r>
      <w:proofErr w:type="spellStart"/>
      <w:r w:rsidRPr="00FF302B">
        <w:t>mol</w:t>
      </w:r>
      <w:proofErr w:type="spellEnd"/>
      <w:r w:rsidRPr="00FF302B">
        <w:t xml:space="preserve"> at a temperature of 313.15</w:t>
      </w:r>
      <w:r w:rsidR="00CF0FF7">
        <w:t> </w:t>
      </w:r>
      <w:r w:rsidRPr="00FF302B">
        <w:t>K, which is nearby to the</w:t>
      </w:r>
      <w:r>
        <w:t xml:space="preserve"> previously disclosed value of </w:t>
      </w:r>
      <w:r>
        <w:noBreakHyphen/>
        <w:t>13.5</w:t>
      </w:r>
      <w:r w:rsidR="00CF0FF7">
        <w:t> </w:t>
      </w:r>
      <w:r>
        <w:t>kJ/</w:t>
      </w:r>
      <w:proofErr w:type="spellStart"/>
      <w:r>
        <w:t>mol</w:t>
      </w:r>
      <w:proofErr w:type="spellEnd"/>
      <w:r>
        <w:t xml:space="preserve"> at 310.15</w:t>
      </w:r>
      <w:r w:rsidR="00CF0FF7">
        <w:t> </w:t>
      </w:r>
      <w:r>
        <w:t>K.</w:t>
      </w:r>
      <w:r w:rsidR="00780720">
        <w:fldChar w:fldCharType="begin" w:fldLock="1"/>
      </w:r>
      <w:r w:rsidR="00773999">
        <w:instrText>ADDIN CSL_CITATION {"citationItems":[{"id":"ITEM-1","itemData":{"DOI":"10.1021/la500722n","ISBN":"0743-7463","ISSN":"15205827","PMID":"24978817","abstract":"Nanoparticles in biological media form dynamic entities as a result of competitive adsorption of proteins on nanoparticle surfaces called protein coronas. The protein affinity toward nanoparticle surfaces potentially depends on the constituent amino acid side chains which are on the protein exterior and thus exposed to the solution and available for interaction. Therefore, studying the adsorption of individual amino acids on nanoparticle surfaces can provide valuable insights into the overall evolution of nanoparticles in solution and the protein corona that forms. In the current study, the surface adsorption of l-histidine on TiO2 nanoparticles with a diameter of 5 nm at pH 7.4 (physiological pH) is studied from both macroscopic and molecular perspectives. Quantitative adsorption measurements of l-histidine on 5 nm TiO2 particles yield maximum adsorption coverage of 6.2 ± 0.3 × 10(13) molecules cm(-2) at 293 K and pH 7.4. These quantitative adsorption measurements also yield values for the equilibrium constant and free energy of adsorption of K = 4.3 ± 0.5 × 10(2) L mol(-1) and ΔG = -14.8 ± 0.3 kJ mol(-1), respectively. Detailed analysis of the adsorption between histidine and 5 nm TiO2 nanoparticle surfaces with attenuated total reflectance Fourier transform infrared (ATR-FTIR) spectroscopy indicates both the imidazole side chain and the amine group interacting with the nanoparticle surface and the adsorption to be reversible. The adsorption results in no change in surface charge and therefore does not change nanoparticle-nanoparticle interactions and thus aggregation behavior of these 5 nm TiO2 nanoparticles in aqueous solution.","author":[{"dropping-particle":"","family":"Mudunkotuwa","given":"Imali A.","non-dropping-particle":"","parse-names":false,"suffix":""},{"dropping-particle":"","family":"Grassian","given":"Vicki H.","non-dropping-particle":"","parse-names":false,"suffix":""}],"container-title":"Langmuir","id":"ITEM-1","issued":{"date-parts":[["2014"]]},"title":"Histidine adsorption on TiO2 nanoparticles: An integrated spectroscopic, thermodynamic, and molecular-based approach toward understanding nano-bio interactions","type":"article-journal"},"uris":["http://www.mendeley.com/documents/?uuid=97c7fb96-3919-4f72-8719-2ef67a6afae4"]}],"mendeley":{"formattedCitation":"&lt;sup&gt;16&lt;/sup&gt;","plainTextFormattedCitation":"16","previouslyFormattedCitation":"&lt;sup&gt;16&lt;/sup&gt;"},"properties":{"noteIndex":0},"schema":"https://github.com/citation-style-language/schema/raw/master/csl-citation.json"}</w:instrText>
      </w:r>
      <w:r w:rsidR="00780720">
        <w:fldChar w:fldCharType="separate"/>
      </w:r>
      <w:r w:rsidR="00780720" w:rsidRPr="00780720">
        <w:rPr>
          <w:noProof/>
          <w:vertAlign w:val="superscript"/>
        </w:rPr>
        <w:t>16</w:t>
      </w:r>
      <w:r w:rsidR="00780720">
        <w:fldChar w:fldCharType="end"/>
      </w:r>
      <w:r w:rsidRPr="00FF302B">
        <w:t xml:space="preserve"> The values of calculated ΔG for all investigated amino acids were &lt;80</w:t>
      </w:r>
      <w:r w:rsidR="0087103F">
        <w:t> </w:t>
      </w:r>
      <w:r w:rsidRPr="00FF302B">
        <w:t>kJ/</w:t>
      </w:r>
      <w:proofErr w:type="spellStart"/>
      <w:r w:rsidRPr="00FF302B">
        <w:t>mol</w:t>
      </w:r>
      <w:proofErr w:type="spellEnd"/>
      <w:r w:rsidRPr="00FF302B">
        <w:t>, which confirms the previous ass</w:t>
      </w:r>
      <w:r>
        <w:t>umption of physical adsorption.</w:t>
      </w:r>
      <w:r w:rsidR="00780720">
        <w:fldChar w:fldCharType="begin" w:fldLock="1"/>
      </w:r>
      <w:r w:rsidR="00773999">
        <w:instrText>ADDIN CSL_CITATION {"citationItems":[{"id":"ITEM-1","itemData":{"DOI":"10.1002/app.45511","ISSN":"10974628","author":[{"dropping-particle":"","family":"Giraldo","given":"Juan D.","non-dropping-particle":"","parse-names":false,"suffix":""},{"dropping-particle":"","family":"Rivas","given":"Bernabé L.","non-dropping-particle":"","parse-names":false,"suffix":""},{"dropping-particle":"","family":"Elgueta","given":"Elizabeth","non-dropping-particle":"","parse-names":false,"suffix":""},{"dropping-particle":"","family":"Mancisidor","given":"Aritz","non-dropping-particle":"","parse-names":false,"suffix":""}],"container-title":"Journal of Applied Polymer Science","id":"ITEM-1","issue":"46","issued":{"date-parts":[["2017"]]},"page":"1-9","title":"Metal ion sorption by chitosan–tripolyphosphate beads","type":"article-journal","volume":"134"},"uris":["http://www.mendeley.com/documents/?uuid=b18f094b-bd62-48f8-9c29-47afe73ef51a"]},{"id":"ITEM-2","itemData":{"ISBN":"ISBN-13: 978-1860941375","author":[{"dropping-particle":"","family":"Do","given":"D. D.","non-dropping-particle":"","parse-names":false,"suffix":""}],"id":"ITEM-2","issued":{"date-parts":[["1998"]]},"page":"1-892","publisher":"Imperial College Press","publisher-place":"London, UK","title":"Adsorption Analysis: Equilibria And Kinetics","type":"article"},"uris":["http://www.mendeley.com/documents/?uuid=7fa53277-0d59-4ad7-a1bf-885f5dc9ea07"]}],"mendeley":{"formattedCitation":"&lt;sup&gt;41,42&lt;/sup&gt;","plainTextFormattedCitation":"41,42","previouslyFormattedCitation":"&lt;sup&gt;41,42&lt;/sup&gt;"},"properties":{"noteIndex":0},"schema":"https://github.com/citation-style-language/schema/raw/master/csl-citation.json"}</w:instrText>
      </w:r>
      <w:r w:rsidR="00780720">
        <w:fldChar w:fldCharType="separate"/>
      </w:r>
      <w:r w:rsidR="00780720" w:rsidRPr="00780720">
        <w:rPr>
          <w:noProof/>
          <w:vertAlign w:val="superscript"/>
        </w:rPr>
        <w:t>41,42</w:t>
      </w:r>
      <w:r w:rsidR="00780720">
        <w:fldChar w:fldCharType="end"/>
      </w:r>
    </w:p>
    <w:p w:rsidR="00FF302B" w:rsidRDefault="00FF302B" w:rsidP="00FF302B">
      <w:pPr>
        <w:pStyle w:val="TAMainText"/>
      </w:pPr>
      <w:r w:rsidRPr="00FF302B">
        <w:t>The direction of the spontaneous process is determined by two factors: en</w:t>
      </w:r>
      <w:r>
        <w:t>thalpic (ΔH) and entropic (ΔS).</w:t>
      </w:r>
      <w:r w:rsidR="00D32FFD">
        <w:fldChar w:fldCharType="begin" w:fldLock="1"/>
      </w:r>
      <w:r w:rsidR="00773999">
        <w:instrText>ADDIN CSL_CITATION {"citationItems":[{"id":"ITEM-1","itemData":{"DOI":"10.1016/0927-7757(96)03734-X","ISSN":"09277757","abstract":"Equilibrium constants (K) for amino acid adsorption on bare and octadecyl silica from water and the corresponding free energy (ΔG°), enthalpy (ΔH°) and entropy (ΔS°) changes were calculated from the retention values measured by means of high-performance liquid chromatography in the temperature range 20-60°C. On bare silica gel, for all amino acids ΔG° values were positive and K was &lt; 1, thus providing evidence of very weak adsorption. Regression analysis of the Van't Hoff plots was used to derive ΔH° and ΔS° values for the adsorption process. For the case of octadecyl silica, some amino acids (Val, Nva, Leu, Ile, Nle, Tyr, Phe, Trp and Met) had negative ΔG° values and K was &gt; 1. The K values decreased and ΔG° values correspondingly increased with temperature. Regression analysis of the Van't Hoff plots was used to derive ΔH° and ΔS° values for the adsorption process. All these values, for both silicas, were negative which proves that the adsorption process is enthalpy-driven and generally unfavorable. Plotting ΔH° vs. ΔS° and ΔG° gave nearly linear general trends indicative of compensation behavior, when all the amino acids are adsorbed according to essentially the same mechanism. Based on analysis of the graphical inter-relations ln K vs. isoelectric points and ln K vs. hydrophobicity coefficients, it was concluded that adsorption on bare silica is governed by ionic interactions, whereas both hydrophobic interactions with octadecyl groups and ionic interactions with residual silanol groups contribute in the case of octadecyl silica.","author":[{"dropping-particle":"","family":"Basiuk","given":"Vladimir A.","non-dropping-particle":"","parse-names":false,"suffix":""},{"dropping-particle":"","family":"Gromovoy","given":"Taras Yu","non-dropping-particle":"","parse-names":false,"suffix":""}],"container-title":"Colloids and Surfaces A: Physicochemical and Engineering Aspects","id":"ITEM-1","issue":"1-2","issued":{"date-parts":[["1996"]]},"page":"127-140","title":"Comparative study of amino acid adsorption on bare and octadecyl silica from water using high-performance liquid chromatography","type":"article-journal","volume":"118"},"uris":["http://www.mendeley.com/documents/?uuid=385990c6-4447-4639-a56c-475a94d8e93c"]}],"mendeley":{"formattedCitation":"&lt;sup&gt;43&lt;/sup&gt;","plainTextFormattedCitation":"43","previouslyFormattedCitation":"&lt;sup&gt;43&lt;/sup&gt;"},"properties":{"noteIndex":0},"schema":"https://github.com/citation-style-language/schema/raw/master/csl-citation.json"}</w:instrText>
      </w:r>
      <w:r w:rsidR="00D32FFD">
        <w:fldChar w:fldCharType="separate"/>
      </w:r>
      <w:r w:rsidR="00D32FFD" w:rsidRPr="00D32FFD">
        <w:rPr>
          <w:noProof/>
          <w:vertAlign w:val="superscript"/>
        </w:rPr>
        <w:t>43</w:t>
      </w:r>
      <w:r w:rsidR="00D32FFD">
        <w:fldChar w:fldCharType="end"/>
      </w:r>
      <w:r w:rsidRPr="00FF302B">
        <w:t xml:space="preserve"> For </w:t>
      </w:r>
      <w:proofErr w:type="spellStart"/>
      <w:r w:rsidRPr="00FF302B">
        <w:t>Gly</w:t>
      </w:r>
      <w:proofErr w:type="spellEnd"/>
      <w:r w:rsidRPr="00FF302B">
        <w:t xml:space="preserve">, </w:t>
      </w:r>
      <w:r w:rsidR="00315EEE" w:rsidRPr="00FF302B">
        <w:t xml:space="preserve">and </w:t>
      </w:r>
      <w:r w:rsidRPr="00FF302B">
        <w:t>Va</w:t>
      </w:r>
      <w:r w:rsidR="005532D4">
        <w:t xml:space="preserve">l </w:t>
      </w:r>
      <w:r w:rsidRPr="00FF302B">
        <w:t>the calculated enthalpy values</w:t>
      </w:r>
      <w:r>
        <w:t xml:space="preserve"> are negative and are equal to </w:t>
      </w:r>
      <w:r>
        <w:noBreakHyphen/>
        <w:t>3.0</w:t>
      </w:r>
      <w:r w:rsidR="0087103F">
        <w:t> </w:t>
      </w:r>
      <w:r>
        <w:t>kJ/</w:t>
      </w:r>
      <w:proofErr w:type="spellStart"/>
      <w:r>
        <w:t>mol</w:t>
      </w:r>
      <w:proofErr w:type="spellEnd"/>
      <w:r w:rsidR="00315EEE" w:rsidRPr="00315EEE">
        <w:t xml:space="preserve"> </w:t>
      </w:r>
      <w:r w:rsidR="00315EEE">
        <w:t xml:space="preserve">and </w:t>
      </w:r>
      <w:r>
        <w:noBreakHyphen/>
        <w:t>13.6</w:t>
      </w:r>
      <w:r w:rsidR="0087103F">
        <w:t> </w:t>
      </w:r>
      <w:r w:rsidR="005532D4">
        <w:t>kJ/</w:t>
      </w:r>
      <w:proofErr w:type="spellStart"/>
      <w:r w:rsidR="005532D4">
        <w:t>mol</w:t>
      </w:r>
      <w:proofErr w:type="spellEnd"/>
      <w:r w:rsidRPr="00FF302B">
        <w:t xml:space="preserve"> respectively, which indicates the exothermic nature of the adsorption of these amino acids and corresponds to the classical concept of the adsorption thermodynamics. Moreover, the calculated value of ΔH for </w:t>
      </w:r>
      <w:proofErr w:type="spellStart"/>
      <w:r w:rsidRPr="00FF302B">
        <w:t>Gly</w:t>
      </w:r>
      <w:proofErr w:type="spellEnd"/>
      <w:r w:rsidRPr="00FF302B">
        <w:t xml:space="preserve"> is close to the v</w:t>
      </w:r>
      <w:r>
        <w:t xml:space="preserve">alue of the enthalpy change of </w:t>
      </w:r>
      <w:r>
        <w:noBreakHyphen/>
      </w:r>
      <w:r w:rsidRPr="00FF302B">
        <w:t>2.2</w:t>
      </w:r>
      <w:r w:rsidR="0087103F">
        <w:t> </w:t>
      </w:r>
      <w:r w:rsidRPr="00FF302B">
        <w:t>kJ/</w:t>
      </w:r>
      <w:proofErr w:type="spellStart"/>
      <w:r w:rsidRPr="00FF302B">
        <w:t>mol</w:t>
      </w:r>
      <w:proofErr w:type="spellEnd"/>
      <w:r w:rsidRPr="00FF302B">
        <w:t>, which was measured for t</w:t>
      </w:r>
      <w:r>
        <w:t xml:space="preserve">he adsorption of </w:t>
      </w:r>
      <w:proofErr w:type="spellStart"/>
      <w:r>
        <w:t>Gly</w:t>
      </w:r>
      <w:proofErr w:type="spellEnd"/>
      <w:r>
        <w:t xml:space="preserve"> on silica.</w:t>
      </w:r>
      <w:r w:rsidR="00D32FFD">
        <w:fldChar w:fldCharType="begin" w:fldLock="1"/>
      </w:r>
      <w:r w:rsidR="00773999">
        <w:instrText>ADDIN CSL_CITATION {"citationItems":[{"id":"ITEM-1","itemData":{"DOI":"10.1016/0927-7757(96)03734-X","ISSN":"09277757","abstract":"Equilibrium constants (K) for amino acid adsorption on bare and octadecyl silica from water and the corresponding free energy (ΔG°), enthalpy (ΔH°) and entropy (ΔS°) changes were calculated from the retention values measured by means of high-performance liquid chromatography in the temperature range 20-60°C. On bare silica gel, for all amino acids ΔG° values were positive and K was &lt; 1, thus providing evidence of very weak adsorption. Regression analysis of the Van't Hoff plots was used to derive ΔH° and ΔS° values for the adsorption process. For the case of octadecyl silica, some amino acids (Val, Nva, Leu, Ile, Nle, Tyr, Phe, Trp and Met) had negative ΔG° values and K was &gt; 1. The K values decreased and ΔG° values correspondingly increased with temperature. Regression analysis of the Van't Hoff plots was used to derive ΔH° and ΔS° values for the adsorption process. All these values, for both silicas, were negative which proves that the adsorption process is enthalpy-driven and generally unfavorable. Plotting ΔH° vs. ΔS° and ΔG° gave nearly linear general trends indicative of compensation behavior, when all the amino acids are adsorbed according to essentially the same mechanism. Based on analysis of the graphical inter-relations ln K vs. isoelectric points and ln K vs. hydrophobicity coefficients, it was concluded that adsorption on bare silica is governed by ionic interactions, whereas both hydrophobic interactions with octadecyl groups and ionic interactions with residual silanol groups contribute in the case of octadecyl silica.","author":[{"dropping-particle":"","family":"Basiuk","given":"Vladimir A.","non-dropping-particle":"","parse-names":false,"suffix":""},{"dropping-particle":"","family":"Gromovoy","given":"Taras Yu","non-dropping-particle":"","parse-names":false,"suffix":""}],"container-title":"Colloids and Surfaces A: Physicochemical and Engineering Aspects","id":"ITEM-1","issue":"1-2","issued":{"date-parts":[["1996"]]},"page":"127-140","title":"Comparative study of amino acid adsorption on bare and octadecyl silica from water using high-performance liquid chromatography","type":"article-journal","volume":"118"},"uris":["http://www.mendeley.com/documents/?uuid=385990c6-4447-4639-a56c-475a94d8e93c"]}],"mendeley":{"formattedCitation":"&lt;sup&gt;43&lt;/sup&gt;","plainTextFormattedCitation":"43","previouslyFormattedCitation":"&lt;sup&gt;43&lt;/sup&gt;"},"properties":{"noteIndex":0},"schema":"https://github.com/citation-style-language/schema/raw/master/csl-citation.json"}</w:instrText>
      </w:r>
      <w:r w:rsidR="00D32FFD">
        <w:fldChar w:fldCharType="separate"/>
      </w:r>
      <w:r w:rsidR="00D32FFD" w:rsidRPr="00D32FFD">
        <w:rPr>
          <w:noProof/>
          <w:vertAlign w:val="superscript"/>
        </w:rPr>
        <w:t>43</w:t>
      </w:r>
      <w:r w:rsidR="00D32FFD">
        <w:fldChar w:fldCharType="end"/>
      </w:r>
      <w:r w:rsidRPr="00FF302B">
        <w:t xml:space="preserve"> The calculated values of ΔH for all other observed amino acids indicate the endothermic nature of the adsorption (ΔH</w:t>
      </w:r>
      <w:r w:rsidR="0087103F">
        <w:t> </w:t>
      </w:r>
      <w:r w:rsidRPr="00FF302B">
        <w:t>&gt;</w:t>
      </w:r>
      <w:r w:rsidR="0087103F">
        <w:t> </w:t>
      </w:r>
      <w:r w:rsidRPr="00FF302B">
        <w:t>0), meaning that the process is entropy driven, and is likely related to the conformational changes of amino acids or the hydrate layer subst</w:t>
      </w:r>
      <w:r>
        <w:t>itution on the sorbent surface.</w:t>
      </w:r>
      <w:r w:rsidR="00D32FFD">
        <w:fldChar w:fldCharType="begin" w:fldLock="1"/>
      </w:r>
      <w:r w:rsidR="00773999">
        <w:instrText>ADDIN CSL_CITATION {"citationItems":[{"id":"ITEM-1","itemData":{"DOI":"10.1016/0021-9797(83)90198-4","ISSN":"00219797","abstract":"Adsorption isotherms for human plasma albumin (HPA) and bovine pancreas ribonuclease (RNase) on hematite surfaces have been determined at different ionic strength and pH. Calorimetric data point to different modes of adsorption of the HPA molecule at and away from isoelectric conditions, respectively. Under most conditions the adsorption enthalpy is positive, even if the HPA molecule and the hematite surface are oppositely charged, so that the adsorption must be driven by an increase of entropy. At high surface coverage ?? lateral interactions between the adsorbed HPA molecules are shown to play an important role in the adsorption mechanism, the enthalpy of those interactions becoming more endothermic with increasing distance from the isoelectric point of the protein. For HPA, additional information is obtained from infrared spectroscopy and electrophoresis, both as a function of pH and ??. At the isoelectric point of the protein the extent of reconformation of the HPA molecule is a minimum; this extent increases with increasing distance from the i.e.p. The variation of reconformation with ?? is most pronounced at low ??. Adsorption is accompanied by the uptake of low-molecular-weight electrolyte. The general conclusion is that the adsorption of RNase is to a large extent determined by coulombic interactions, whereas with HPA other factors are dominant. For the latter protein, the electrical contributions to the interaction with the substrate can to a large extent be unraveled. ?? 1983.","author":[{"dropping-particle":"","family":"Koutsoukos","given":"P.G G","non-dropping-particle":"","parse-names":false,"suffix":""},{"dropping-particle":"","family":"Norde","given":"W.","non-dropping-particle":"","parse-names":false,"suffix":""},{"dropping-particle":"","family":"Lyklema","given":"J.","non-dropping-particle":"","parse-names":false,"suffix":""}],"container-title":"Journal of Colloid and Interface Science","id":"ITEM-1","issue":"2","issued":{"date-parts":[["1983"]]},"page":"385-397","title":"Protein Adsorption on Hematite (a-Fe203) Surfaces","type":"article-journal","volume":"95"},"uris":["http://www.mendeley.com/documents/?uuid=1f0200d9-8016-4856-876e-19c17ffe7249"]},{"id":"ITEM-2","itemData":{"DOI":"10.1016/0021-9797(86)90113-X","ISBN":"0021-9797","ISSN":"00219797","PMID":"3333131","abstract":"The patterns for the adsorption of human plasma albumin are similar at sorbent surfaces that differ with respect to electrical charge and hydrophobicity. It seem, therefore, that the adsorption behavior is determined by properties of the albumin molecule, rather than by the sorbent surface. With all systems studied, dilution did not lead to significant desorption. However, the protein could be (partly) removed from most surfaces by adjusting the pH or the ionic strength or by adding a displacer. In the desorbed samples the α-helix content, as calculated from circular dichroism spectra, is somewhat lower than in the native albumin molecule. It is reasoned that the structural rearrangements involve an entropy gain related to an increased rotational mobility along the polypeptide chain. This entropy increase may be sufficiently large to compensate for the positive adsorption enthalpy. © 1986.","author":[{"dropping-particle":"","family":"Norde","given":"W.","non-dropping-particle":"","parse-names":false,"suffix":""},{"dropping-particle":"","family":"MacRitchie","given":"F.","non-dropping-particle":"","parse-names":false,"suffix":""},{"dropping-particle":"","family":"Nowicka","given":"G.","non-dropping-particle":"","parse-names":false,"suffix":""},{"dropping-particle":"","family":"Lyklema","given":"J.","non-dropping-particle":"","parse-names":false,"suffix":""}],"container-title":"Journal of Colloid And Interface Science","id":"ITEM-2","issue":"2","issued":{"date-parts":[["1986"]]},"page":"447-456","title":"Protein adsorption at solid-liquid interfaces: Reversibility and conformation aspects","type":"article-journal","volume":"112"},"uris":["http://www.mendeley.com/documents/?uuid=a0424186-5ec1-4c90-94c8-f05f8063a18b"]},{"id":"ITEM-3","itemData":{"DOI":"10.1006/jcis.2001.7616","ISBN":"6188302366","ISSN":"00219797","PMID":"11446779","abstract":"We use a selection of wood-based and coconut-based activated carbons to investigate the factors controlling the removal of the hepatotoxin microcystin-LR (m-LR) from aqueous solutions. The wood carbons contain both micropores and mesopores. The coconut carbons contain micropores only. Confirming previously published observations, we also find that the wood-based carbons adsorb more microcystin than the coconut-based carbons. From a combination of a judicious modification of a wood-based carbon's surface chemistry and of the solution chemistry, we demonstrate that both surface and solution chemistry play minor roles in the adsorption process, with the adsorbent surface chemistry exhibiting less influence than the solution chemistry. Conformational changes at low solution pH probably contribute to the observed increase in adsorption by both classes of adsorbent. At the solution pH of 2.5, the coconut-based carbons exhibit a 400% increased affinity for m-LR compared with 100% increases for the wood-based carbons. In an analysis of the thermodynamics of adsorption, using multiple temperature adsorption chromatography methods, we indicate that m-LR adsorption is an entropy-driven process for each of the carbons, except the most hydrophilic and mesoporous carbon, B1. In this case, exothermic enthalpy contributions to adsorption also exist. From our overall observations, since m-LR contains molecular dimensions in the secondary micropore width range, we demonstrate that it is important to consider both the secondary micropore and the mesopore volumes for the adsorption of m-LR from aqueous solutions. © 2001 Academic Press.","author":[{"dropping-particle":"","family":"Pendleton","given":"Phillip","non-dropping-particle":"","parse-names":false,"suffix":""},{"dropping-particle":"","family":"Schumann","given":"Russell","non-dropping-particle":"","parse-names":false,"suffix":""},{"dropping-particle":"","family":"Wong","given":"Shiaw Hui","non-dropping-particle":"","parse-names":false,"suffix":""}],"container-title":"Journal of Colloid and Interface Science","id":"ITEM-3","issue":"1","issued":{"date-parts":[["2001"]]},"page":"1-8","title":"Microcystin-LR adsorption by activated carbon","type":"article-journal","volume":"240"},"uris":["http://www.mendeley.com/documents/?uuid=22354d37-ed94-47df-b878-9c276933d605"]}],"mendeley":{"formattedCitation":"&lt;sup&gt;44–46&lt;/sup&gt;","plainTextFormattedCitation":"44–46","previouslyFormattedCitation":"&lt;sup&gt;44–46&lt;/sup&gt;"},"properties":{"noteIndex":0},"schema":"https://github.com/citation-style-language/schema/raw/master/csl-citation.json"}</w:instrText>
      </w:r>
      <w:r w:rsidR="00D32FFD">
        <w:fldChar w:fldCharType="separate"/>
      </w:r>
      <w:r w:rsidR="00D32FFD" w:rsidRPr="00D32FFD">
        <w:rPr>
          <w:noProof/>
          <w:vertAlign w:val="superscript"/>
        </w:rPr>
        <w:t>44–46</w:t>
      </w:r>
      <w:r w:rsidR="00D32FFD">
        <w:fldChar w:fldCharType="end"/>
      </w:r>
    </w:p>
    <w:p w:rsidR="005968B8" w:rsidRPr="00161FA5" w:rsidRDefault="00B10181" w:rsidP="005968B8">
      <w:pPr>
        <w:pStyle w:val="TAMainText"/>
      </w:pPr>
      <w:r w:rsidRPr="00161FA5">
        <w:t>U</w:t>
      </w:r>
      <w:r w:rsidR="005968B8" w:rsidRPr="00161FA5">
        <w:t xml:space="preserve">ncertainties of </w:t>
      </w:r>
      <w:r w:rsidRPr="00161FA5">
        <w:t xml:space="preserve">some </w:t>
      </w:r>
      <w:r w:rsidR="005968B8" w:rsidRPr="00161FA5">
        <w:t>calculated enthalp</w:t>
      </w:r>
      <w:r w:rsidRPr="00161FA5">
        <w:t>ies</w:t>
      </w:r>
      <w:r w:rsidR="005968B8" w:rsidRPr="00161FA5">
        <w:t xml:space="preserve"> and entrop</w:t>
      </w:r>
      <w:r w:rsidRPr="00161FA5">
        <w:t>ies</w:t>
      </w:r>
      <w:r w:rsidR="005968B8" w:rsidRPr="00161FA5">
        <w:t xml:space="preserve"> were found to be larger than the values themselves, especially for the cases of </w:t>
      </w:r>
      <w:proofErr w:type="spellStart"/>
      <w:r w:rsidR="005968B8" w:rsidRPr="00161FA5">
        <w:t>Trp</w:t>
      </w:r>
      <w:proofErr w:type="spellEnd"/>
      <w:r w:rsidR="005968B8" w:rsidRPr="00161FA5">
        <w:t xml:space="preserve">, </w:t>
      </w:r>
      <w:proofErr w:type="spellStart"/>
      <w:r w:rsidR="005968B8" w:rsidRPr="00161FA5">
        <w:t>Gln</w:t>
      </w:r>
      <w:proofErr w:type="spellEnd"/>
      <w:r w:rsidR="005968B8" w:rsidRPr="00161FA5">
        <w:t xml:space="preserve">, Val, </w:t>
      </w:r>
      <w:proofErr w:type="spellStart"/>
      <w:r w:rsidR="005968B8" w:rsidRPr="00161FA5">
        <w:t>Leu</w:t>
      </w:r>
      <w:proofErr w:type="spellEnd"/>
      <w:r w:rsidR="005968B8" w:rsidRPr="00161FA5">
        <w:t xml:space="preserve">, and Ile. Mathematically, such errors are associated with imperfect linear trend of the </w:t>
      </w:r>
      <w:r w:rsidR="005968B8" w:rsidRPr="00161FA5">
        <w:rPr>
          <w:rFonts w:ascii="Symbol" w:hAnsi="Symbol"/>
        </w:rPr>
        <w:t></w:t>
      </w:r>
      <w:r w:rsidR="005968B8" w:rsidRPr="00161FA5">
        <w:t xml:space="preserve">G change. Thermodynamic reason of big uncertainties is a simultaneous monolayer and multilayer adsorptions with different </w:t>
      </w:r>
      <w:r w:rsidR="005968B8" w:rsidRPr="00161FA5">
        <w:rPr>
          <w:rFonts w:ascii="Times New Roman" w:hAnsi="Times New Roman"/>
        </w:rPr>
        <w:t xml:space="preserve">enthalpic and entropic contributions to the </w:t>
      </w:r>
      <w:r w:rsidR="00056C73" w:rsidRPr="00161FA5">
        <w:rPr>
          <w:rFonts w:ascii="Times New Roman" w:hAnsi="Times New Roman"/>
        </w:rPr>
        <w:t>adsorption</w:t>
      </w:r>
      <w:r w:rsidR="005968B8" w:rsidRPr="00161FA5">
        <w:t xml:space="preserve">. </w:t>
      </w:r>
    </w:p>
    <w:p w:rsidR="002D482C" w:rsidRDefault="00B8244A" w:rsidP="00FF302B">
      <w:pPr>
        <w:pStyle w:val="TAMainText"/>
      </w:pPr>
      <w:bookmarkStart w:id="0" w:name="_GoBack"/>
      <w:bookmarkEnd w:id="0"/>
      <w:r w:rsidRPr="00F20185">
        <w:t xml:space="preserve">Calculated Gibbs free energy of adsorption </w:t>
      </w:r>
      <w:r w:rsidR="00B05F06" w:rsidRPr="00400A92">
        <w:rPr>
          <w:noProof/>
        </w:rPr>
        <w:t>tend</w:t>
      </w:r>
      <w:r w:rsidR="00400A92">
        <w:rPr>
          <w:noProof/>
        </w:rPr>
        <w:t>s</w:t>
      </w:r>
      <w:r w:rsidR="00B05F06" w:rsidRPr="00F20185">
        <w:t xml:space="preserve"> to increase </w:t>
      </w:r>
      <w:r w:rsidR="00B05F06">
        <w:t>within a row of</w:t>
      </w:r>
      <w:r w:rsidRPr="00F20185">
        <w:t xml:space="preserve"> aliphatic amino acids: Ala, Val, Ile, </w:t>
      </w:r>
      <w:proofErr w:type="spellStart"/>
      <w:r w:rsidRPr="00F20185">
        <w:t>Leu</w:t>
      </w:r>
      <w:proofErr w:type="spellEnd"/>
      <w:r w:rsidRPr="00F20185">
        <w:t xml:space="preserve"> (</w:t>
      </w:r>
      <w:r w:rsidRPr="00F20185">
        <w:rPr>
          <w:b/>
        </w:rPr>
        <w:t>Figure 3</w:t>
      </w:r>
      <w:r w:rsidRPr="00F20185">
        <w:t xml:space="preserve">), meaning higher </w:t>
      </w:r>
      <w:r w:rsidRPr="00400A92">
        <w:rPr>
          <w:noProof/>
        </w:rPr>
        <w:t>homologue</w:t>
      </w:r>
      <w:r w:rsidRPr="00F20185">
        <w:t xml:space="preserve"> of the amino acid is less prone to binding to TiO</w:t>
      </w:r>
      <w:r w:rsidRPr="00F20185">
        <w:rPr>
          <w:vertAlign w:val="subscript"/>
        </w:rPr>
        <w:t>2</w:t>
      </w:r>
      <w:r w:rsidRPr="00F20185">
        <w:t xml:space="preserve">. Considering the trend, one may suggest the energy of adsorption of the </w:t>
      </w:r>
      <w:r w:rsidRPr="00F20185">
        <w:lastRenderedPageBreak/>
        <w:t xml:space="preserve">highest </w:t>
      </w:r>
      <w:r w:rsidRPr="00400A92">
        <w:rPr>
          <w:noProof/>
        </w:rPr>
        <w:t>homologues</w:t>
      </w:r>
      <w:r w:rsidRPr="00F20185">
        <w:t xml:space="preserve"> to stabilize nearby </w:t>
      </w:r>
      <w:proofErr w:type="spellStart"/>
      <w:r w:rsidRPr="00F20185">
        <w:t>Leu</w:t>
      </w:r>
      <w:proofErr w:type="spellEnd"/>
      <w:r w:rsidRPr="00F20185">
        <w:t xml:space="preserve">. The fact that </w:t>
      </w:r>
      <w:proofErr w:type="spellStart"/>
      <w:r w:rsidRPr="00F20185">
        <w:t>Leu</w:t>
      </w:r>
      <w:proofErr w:type="spellEnd"/>
      <w:r w:rsidRPr="00F20185">
        <w:t xml:space="preserve"> has higher binding free energy than Ile suggest that the branching structure of the aliphatic side chain has the as strong influence on adsorption as the number of carbons in the homologous series.</w:t>
      </w:r>
    </w:p>
    <w:p w:rsidR="007D21BB" w:rsidRDefault="00B660EB" w:rsidP="007D21BB">
      <w:pPr>
        <w:pStyle w:val="TAMainText"/>
        <w:jc w:val="center"/>
      </w:pPr>
      <w:r>
        <w:rPr>
          <w:noProof/>
          <w:lang w:val="ru-RU" w:eastAsia="ru-RU"/>
        </w:rPr>
        <w:drawing>
          <wp:inline distT="0" distB="0" distL="0" distR="0">
            <wp:extent cx="3056400" cy="2149270"/>
            <wp:effectExtent l="0" t="0" r="0" b="3810"/>
            <wp:docPr id="8" name="Picture 8" descr="C:\Users\Лена\Desktop\alavalleuile1412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Лена\Desktop\alavalleuile141218.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6400" cy="2149270"/>
                    </a:xfrm>
                    <a:prstGeom prst="rect">
                      <a:avLst/>
                    </a:prstGeom>
                    <a:noFill/>
                    <a:ln>
                      <a:noFill/>
                    </a:ln>
                  </pic:spPr>
                </pic:pic>
              </a:graphicData>
            </a:graphic>
          </wp:inline>
        </w:drawing>
      </w:r>
    </w:p>
    <w:p w:rsidR="00B8244A" w:rsidRPr="00F20185" w:rsidRDefault="00B8244A" w:rsidP="00F0152A">
      <w:pPr>
        <w:pStyle w:val="VAFigureCaption"/>
      </w:pPr>
      <w:proofErr w:type="gramStart"/>
      <w:r w:rsidRPr="00F20185">
        <w:rPr>
          <w:b/>
        </w:rPr>
        <w:t>Figure 3.</w:t>
      </w:r>
      <w:proofErr w:type="gramEnd"/>
      <w:r w:rsidRPr="00F20185">
        <w:t xml:space="preserve"> </w:t>
      </w:r>
      <w:r w:rsidR="00F0152A" w:rsidRPr="00F20185">
        <w:t>Dependences of the Gibbs free energy of the aliphatic amino acids adsorption on temperatures.</w:t>
      </w:r>
    </w:p>
    <w:p w:rsidR="00F0152A" w:rsidRDefault="00F0152A" w:rsidP="00F0152A">
      <w:pPr>
        <w:pStyle w:val="TAMainText"/>
      </w:pPr>
      <w:r w:rsidRPr="00F20185">
        <w:t xml:space="preserve">The adsorption suppression within homologous series is also clear for the hydroxyl-containing amino acids where the methyl bearing </w:t>
      </w:r>
      <w:proofErr w:type="spellStart"/>
      <w:r w:rsidRPr="00F20185">
        <w:t>Thr</w:t>
      </w:r>
      <w:proofErr w:type="spellEnd"/>
      <w:r w:rsidRPr="00F20185">
        <w:t xml:space="preserve"> is a weaker adsorbate than the Ser. It is hard to conclude whether this tendency is true for amide-containing </w:t>
      </w:r>
      <w:proofErr w:type="spellStart"/>
      <w:r w:rsidRPr="00F20185">
        <w:t>Gln</w:t>
      </w:r>
      <w:proofErr w:type="spellEnd"/>
      <w:r w:rsidRPr="00F20185">
        <w:t xml:space="preserve"> and </w:t>
      </w:r>
      <w:proofErr w:type="spellStart"/>
      <w:r w:rsidRPr="00F20185">
        <w:t>Asn</w:t>
      </w:r>
      <w:proofErr w:type="spellEnd"/>
      <w:r w:rsidRPr="00F20185">
        <w:t>, as they show a somewhat similar adsorption activity (</w:t>
      </w:r>
      <w:r w:rsidRPr="00F20185">
        <w:rPr>
          <w:b/>
        </w:rPr>
        <w:t>Figure 4</w:t>
      </w:r>
      <w:r w:rsidRPr="00F20185">
        <w:t>). Another conclusion that comes from the analysis of the polar amino acids is hydroxyl-group makes amino acids to bind stronger to TiO</w:t>
      </w:r>
      <w:r w:rsidRPr="00F20185">
        <w:rPr>
          <w:vertAlign w:val="subscript"/>
        </w:rPr>
        <w:t>2</w:t>
      </w:r>
      <w:r w:rsidRPr="00F20185">
        <w:t>, than does the amide function (</w:t>
      </w:r>
      <w:r w:rsidRPr="00F20185">
        <w:rPr>
          <w:b/>
        </w:rPr>
        <w:t>Figure 4</w:t>
      </w:r>
      <w:r w:rsidRPr="00F20185">
        <w:t>). A possible explanation comes from the previous ﬁrst principles MD simulations, which proposed a strong bonding between a deprotonated hydroxyl group of serine and the TiO</w:t>
      </w:r>
      <w:r w:rsidRPr="00F20185">
        <w:rPr>
          <w:vertAlign w:val="subscript"/>
        </w:rPr>
        <w:t>2</w:t>
      </w:r>
      <w:r w:rsidR="007D21BB" w:rsidRPr="00F20185">
        <w:t xml:space="preserve"> surface.</w:t>
      </w:r>
      <w:r w:rsidR="00D32FFD">
        <w:fldChar w:fldCharType="begin" w:fldLock="1"/>
      </w:r>
      <w:r w:rsidR="00773999">
        <w:instrText>ADDIN CSL_CITATION {"citationItems":[{"id":"ITEM-1","itemData":{"DOI":"10.1016/S0039-6028(03)00723-4","ISBN":"0039-6028","ISSN":"00396028","abstract":"The adsorption of glycine, methionine, serine, and cysteine on partially hydroxylated rutile (100) and (110) surfaces was simulated by first principles molecular dynamics. Perfect surfaces and well known defects such as oxygen vacancies and facets were modelled. In most runs the simulation cell was filled with H2O molecules up to standard density. Binding of the carboxyl groups to the surface through hydrogen bonds and Ti-O interaction is weak in all cases. The adsorbate-substrate interactions do not seem to be significantly stronger than adsorbate-adsorbate hydrogen bonds. The NH3+-group of the zwitterion showed only weak interaction with the surface oxygen atoms and rotated around its figure axis. More stable configurations are attained by ester condensation of the carboxyl group and a basic surface hydroxyl group and by the formation of a bond between a deprotonated hydroxyl or thiol group of serine or cysteine, respectively, and a surface Ti. Calculations suggest that these groups bind to the perfect surface rather than inserting into oxygen vacancies. © 2003 Elsevier Science B.V. All rights reserved.","author":[{"dropping-particle":"","family":"Langel","given":"Walter","non-dropping-particle":"","parse-names":false,"suffix":""},{"dropping-particle":"","family":"Menken","given":"Lars","non-dropping-particle":"","parse-names":false,"suffix":""}],"container-title":"Surface Science","id":"ITEM-1","issue":"1-2","issued":{"date-parts":[["2003"]]},"page":"1-9","title":"Simulation of the interface between titanium oxide and amino acids in solution by first principles MD","type":"article-journal","volume":"538"},"uris":["http://www.mendeley.com/documents/?uuid=6599ad96-76ff-41a7-ab68-c1667299c6a0"]}],"mendeley":{"formattedCitation":"&lt;sup&gt;29&lt;/sup&gt;","plainTextFormattedCitation":"29","previouslyFormattedCitation":"&lt;sup&gt;29&lt;/sup&gt;"},"properties":{"noteIndex":0},"schema":"https://github.com/citation-style-language/schema/raw/master/csl-citation.json"}</w:instrText>
      </w:r>
      <w:r w:rsidR="00D32FFD">
        <w:fldChar w:fldCharType="separate"/>
      </w:r>
      <w:r w:rsidR="00D32FFD" w:rsidRPr="00D32FFD">
        <w:rPr>
          <w:noProof/>
          <w:vertAlign w:val="superscript"/>
        </w:rPr>
        <w:t>29</w:t>
      </w:r>
      <w:r w:rsidR="00D32FFD">
        <w:fldChar w:fldCharType="end"/>
      </w:r>
    </w:p>
    <w:p w:rsidR="00A31C65" w:rsidRDefault="0068312A" w:rsidP="00A31C65">
      <w:pPr>
        <w:pStyle w:val="TAMainText"/>
        <w:jc w:val="center"/>
      </w:pPr>
      <w:r>
        <w:rPr>
          <w:noProof/>
          <w:lang w:val="ru-RU" w:eastAsia="ru-RU"/>
        </w:rPr>
        <w:lastRenderedPageBreak/>
        <w:drawing>
          <wp:inline distT="0" distB="0" distL="0" distR="0">
            <wp:extent cx="3056400" cy="2149270"/>
            <wp:effectExtent l="0" t="0" r="0" b="3810"/>
            <wp:docPr id="12" name="Picture 12" descr="C:\Users\Лена\Desktop\asnglnthrser1412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Лена\Desktop\asnglnthrser141218.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6400" cy="2149270"/>
                    </a:xfrm>
                    <a:prstGeom prst="rect">
                      <a:avLst/>
                    </a:prstGeom>
                    <a:noFill/>
                    <a:ln>
                      <a:noFill/>
                    </a:ln>
                  </pic:spPr>
                </pic:pic>
              </a:graphicData>
            </a:graphic>
          </wp:inline>
        </w:drawing>
      </w:r>
    </w:p>
    <w:p w:rsidR="00A31C65" w:rsidRPr="00F20185" w:rsidRDefault="00A31C65" w:rsidP="00A31C65">
      <w:pPr>
        <w:pStyle w:val="VAFigureCaption"/>
      </w:pPr>
      <w:proofErr w:type="gramStart"/>
      <w:r w:rsidRPr="00F20185">
        <w:rPr>
          <w:b/>
        </w:rPr>
        <w:t>Figure 4.</w:t>
      </w:r>
      <w:proofErr w:type="gramEnd"/>
      <w:r w:rsidRPr="00F20185">
        <w:t xml:space="preserve"> Dependences of the Gibbs free energy of the polar amino acids adsorption on temperatures.</w:t>
      </w:r>
    </w:p>
    <w:p w:rsidR="00A31C65" w:rsidRDefault="00A31C65" w:rsidP="00FF302B">
      <w:pPr>
        <w:pStyle w:val="TAMainText"/>
      </w:pPr>
      <w:r w:rsidRPr="00F20185">
        <w:t>Interaction patterns exhibited by aromatic and heteroaromatic cycles comprise hydrophobic, polar, hydrogen bonding, cation-π, amide-π, halogen</w:t>
      </w:r>
      <w:r w:rsidR="005B2631" w:rsidRPr="00F20185">
        <w:t>-π, and π-stacking interactions</w:t>
      </w:r>
      <w:r w:rsidR="00D32FFD">
        <w:fldChar w:fldCharType="begin" w:fldLock="1"/>
      </w:r>
      <w:r w:rsidR="00773999">
        <w:instrText>ADDIN CSL_CITATION {"citationItems":[{"id":"ITEM-1","itemData":{"DOI":"10.1021/ci500183u","author":[{"dropping-particle":"","family":"Huber","given":"Roland G","non-dropping-particle":"","parse-names":false,"suffix":""},{"dropping-particle":"","family":"Margreiter","given":"Michael a","non-dropping-particle":"","parse-names":false,"suffix":""},{"dropping-particle":"","family":"Fuchs","given":"Julian E","non-dropping-particle":"","parse-names":false,"suffix":""},{"dropping-particle":"","family":"Von","given":"Susanne","non-dropping-particle":"","parse-names":false,"suffix":""},{"dropping-particle":"","family":"Tautermann","given":"Christofer S","non-dropping-particle":"","parse-names":false,"suffix":""},{"dropping-particle":"","family":"Liedl","given":"Klaus R","non-dropping-particle":"","parse-names":false,"suffix":""},{"dropping-particle":"","family":"Fox","given":"Thomas","non-dropping-particle":"","parse-names":false,"suffix":""}],"container-title":"J. Chem. Inf. Model.","id":"ITEM-1","issued":{"date-parts":[["2014"]]},"page":"1371-1379","title":"Heteroaromatic Pi-stacking Energy Landscapes Heteroaromatic π -stacking Energy Landscapes","type":"article-journal","volume":"54"},"uris":["http://www.mendeley.com/documents/?uuid=87f00ce9-fe6d-47ab-a594-3aae0bbfe994"]}],"mendeley":{"formattedCitation":"&lt;sup&gt;47&lt;/sup&gt;","plainTextFormattedCitation":"47","previouslyFormattedCitation":"&lt;sup&gt;47&lt;/sup&gt;"},"properties":{"noteIndex":0},"schema":"https://github.com/citation-style-language/schema/raw/master/csl-citation.json"}</w:instrText>
      </w:r>
      <w:r w:rsidR="00D32FFD">
        <w:fldChar w:fldCharType="separate"/>
      </w:r>
      <w:r w:rsidR="00D32FFD" w:rsidRPr="00D32FFD">
        <w:rPr>
          <w:noProof/>
          <w:vertAlign w:val="superscript"/>
        </w:rPr>
        <w:t>47</w:t>
      </w:r>
      <w:r w:rsidR="00D32FFD">
        <w:fldChar w:fldCharType="end"/>
      </w:r>
      <w:r w:rsidRPr="00F20185">
        <w:t xml:space="preserve"> which gives the rise of functionality and diverse adsorption activity, as recently was demonst</w:t>
      </w:r>
      <w:r w:rsidR="005B2631" w:rsidRPr="00F20185">
        <w:t>rated for the case of Histidine</w:t>
      </w:r>
      <w:r w:rsidRPr="00F20185">
        <w:t>.</w:t>
      </w:r>
      <w:r w:rsidR="00D32FFD">
        <w:fldChar w:fldCharType="begin" w:fldLock="1"/>
      </w:r>
      <w:r w:rsidR="00773999">
        <w:instrText>ADDIN CSL_CITATION {"citationItems":[{"id":"ITEM-1","itemData":{"DOI":"10.1021/la500722n","ISBN":"0743-7463","ISSN":"15205827","PMID":"24978817","abstract":"Nanoparticles in biological media form dynamic entities as a result of competitive adsorption of proteins on nanoparticle surfaces called protein coronas. The protein affinity toward nanoparticle surfaces potentially depends on the constituent amino acid side chains which are on the protein exterior and thus exposed to the solution and available for interaction. Therefore, studying the adsorption of individual amino acids on nanoparticle surfaces can provide valuable insights into the overall evolution of nanoparticles in solution and the protein corona that forms. In the current study, the surface adsorption of l-histidine on TiO2 nanoparticles with a diameter of 5 nm at pH 7.4 (physiological pH) is studied from both macroscopic and molecular perspectives. Quantitative adsorption measurements of l-histidine on 5 nm TiO2 particles yield maximum adsorption coverage of 6.2 ± 0.3 × 10(13) molecules cm(-2) at 293 K and pH 7.4. These quantitative adsorption measurements also yield values for the equilibrium constant and free energy of adsorption of K = 4.3 ± 0.5 × 10(2) L mol(-1) and ΔG = -14.8 ± 0.3 kJ mol(-1), respectively. Detailed analysis of the adsorption between histidine and 5 nm TiO2 nanoparticle surfaces with attenuated total reflectance Fourier transform infrared (ATR-FTIR) spectroscopy indicates both the imidazole side chain and the amine group interacting with the nanoparticle surface and the adsorption to be reversible. The adsorption results in no change in surface charge and therefore does not change nanoparticle-nanoparticle interactions and thus aggregation behavior of these 5 nm TiO2 nanoparticles in aqueous solution.","author":[{"dropping-particle":"","family":"Mudunkotuwa","given":"Imali A.","non-dropping-particle":"","parse-names":false,"suffix":""},{"dropping-particle":"","family":"Grassian","given":"Vicki H.","non-dropping-particle":"","parse-names":false,"suffix":""}],"container-title":"Langmuir","id":"ITEM-1","issued":{"date-parts":[["2014"]]},"title":"Histidine adsorption on TiO2 nanoparticles: An integrated spectroscopic, thermodynamic, and molecular-based approach toward understanding nano-bio interactions","type":"article-journal"},"uris":["http://www.mendeley.com/documents/?uuid=97c7fb96-3919-4f72-8719-2ef67a6afae4"]}],"mendeley":{"formattedCitation":"&lt;sup&gt;16&lt;/sup&gt;","plainTextFormattedCitation":"16","previouslyFormattedCitation":"&lt;sup&gt;16&lt;/sup&gt;"},"properties":{"noteIndex":0},"schema":"https://github.com/citation-style-language/schema/raw/master/csl-citation.json"}</w:instrText>
      </w:r>
      <w:r w:rsidR="00D32FFD">
        <w:fldChar w:fldCharType="separate"/>
      </w:r>
      <w:r w:rsidR="00D32FFD" w:rsidRPr="00D32FFD">
        <w:rPr>
          <w:noProof/>
          <w:vertAlign w:val="superscript"/>
        </w:rPr>
        <w:t>16</w:t>
      </w:r>
      <w:r w:rsidR="00D32FFD">
        <w:fldChar w:fldCharType="end"/>
      </w:r>
      <w:r w:rsidRPr="00F20185">
        <w:t xml:space="preserve"> Hence, one would expect </w:t>
      </w:r>
      <w:r w:rsidR="00EB1D92" w:rsidRPr="005532D4">
        <w:t>the</w:t>
      </w:r>
      <w:r w:rsidR="00EB1D92">
        <w:t xml:space="preserve"> </w:t>
      </w:r>
      <w:r w:rsidRPr="00F20185">
        <w:t xml:space="preserve">larger variance of adsorption Gibbs free energies among aromatic amino acids. However, aromatic cycles: benzene, indole, made </w:t>
      </w:r>
      <w:proofErr w:type="spellStart"/>
      <w:r w:rsidRPr="00F20185">
        <w:t>Phe</w:t>
      </w:r>
      <w:proofErr w:type="spellEnd"/>
      <w:r w:rsidRPr="00F20185">
        <w:t xml:space="preserve"> and </w:t>
      </w:r>
      <w:proofErr w:type="spellStart"/>
      <w:r w:rsidRPr="00F20185">
        <w:t>Trp</w:t>
      </w:r>
      <w:proofErr w:type="spellEnd"/>
      <w:r w:rsidRPr="00F20185">
        <w:t xml:space="preserve"> behave as relatively weak adsorbates. This is especially surprising as most of their aliphatic </w:t>
      </w:r>
      <w:r w:rsidR="009A32EF" w:rsidRPr="00400A92">
        <w:rPr>
          <w:noProof/>
        </w:rPr>
        <w:t>analogue</w:t>
      </w:r>
      <w:r w:rsidRPr="00400A92">
        <w:rPr>
          <w:noProof/>
        </w:rPr>
        <w:t>s</w:t>
      </w:r>
      <w:r w:rsidRPr="00F20185">
        <w:t xml:space="preserve"> behave rather differently: they have </w:t>
      </w:r>
      <w:r w:rsidRPr="00400A92">
        <w:rPr>
          <w:noProof/>
        </w:rPr>
        <w:t>lower</w:t>
      </w:r>
      <w:r w:rsidRPr="00F20185">
        <w:t xml:space="preserve"> free energy of </w:t>
      </w:r>
      <w:r w:rsidR="005F76E6" w:rsidRPr="00F20185">
        <w:t>adsorption</w:t>
      </w:r>
      <w:r w:rsidRPr="00F20185">
        <w:t xml:space="preserve"> (</w:t>
      </w:r>
      <w:r w:rsidRPr="00F20185">
        <w:rPr>
          <w:b/>
        </w:rPr>
        <w:t>Figure 5</w:t>
      </w:r>
      <w:r w:rsidRPr="00F20185">
        <w:t>). We suggest that stabilization of possible aromatic amino acid aggregates via π-π stacki</w:t>
      </w:r>
      <w:r w:rsidR="005B2631" w:rsidRPr="00F20185">
        <w:t>ng compete with the adsorption.</w:t>
      </w:r>
      <w:r w:rsidR="00D32FFD">
        <w:fldChar w:fldCharType="begin" w:fldLock="1"/>
      </w:r>
      <w:r w:rsidR="00773999">
        <w:instrText>ADDIN CSL_CITATION {"citationItems":[{"id":"ITEM-1","itemData":{"DOI":"10.1366/000370206778397425","ISSN":"00037028","PMID":"17002830","abstract":"The water evaporation from L-phenylalanine (L-phe) aqueous solutions at different initial pH (0-13) was studied by vibrational spectroscopy. Next, the attenuated total reflection-Fourier transform infrared (ATR-FT-IR) spectra of aqueous solutions were compared to those recorded after drying for 72 h at 21 degrees C at appropriate initial pH values. Micro-Raman results collected after the water evaporation process are also presented and interpreted. Between pH = 2.5 and 8.76 a white non-transparent gel was observed, possibly due to the presence of the NaCl salt. The significant differences of the band intensities of L-phe functional groups noticed at pH near pK(a) values indicate the structural changes of L-phe molecules due to dimer formation (hydrogen bonds between the -COOH and -CO(2)(-) groups, and the -NH(3)(+) and -NH(2) groups). The presence of the hydrophobic interactions leads to the aggregation of L-phe molecules, most probably via phe-phe stacking as well as complexes of phe with Na(+) ions, HCl, or H(2)O molecules.","author":[{"dropping-particle":"","family":"Olsztynska","given":"S.","non-dropping-particle":"","parse-names":false,"suffix":""},{"dropping-particle":"","family":"Dupuy","given":"N.","non-dropping-particle":"","parse-names":false,"suffix":""},{"dropping-particle":"","family":"Vrielynck","given":"L.","non-dropping-particle":"","parse-names":false,"suffix":""},{"dropping-particle":"","family":"Komorowska","given":"M.","non-dropping-particle":"","parse-names":false,"suffix":""}],"container-title":"Applied Spectroscopy","id":"ITEM-1","issued":{"date-parts":[["2006"]]},"title":"Water evaporation analysis of L-phenylalanine from initial aqueous solutions to powder state by vibrational spectroscopy","type":"article-journal"},"uris":["http://www.mendeley.com/documents/?uuid=15d0ee8c-755c-411f-b2b7-b63fb5975873"]}],"mendeley":{"formattedCitation":"&lt;sup&gt;48&lt;/sup&gt;","plainTextFormattedCitation":"48","previouslyFormattedCitation":"&lt;sup&gt;48&lt;/sup&gt;"},"properties":{"noteIndex":0},"schema":"https://github.com/citation-style-language/schema/raw/master/csl-citation.json"}</w:instrText>
      </w:r>
      <w:r w:rsidR="00D32FFD">
        <w:fldChar w:fldCharType="separate"/>
      </w:r>
      <w:r w:rsidR="00D32FFD" w:rsidRPr="00D32FFD">
        <w:rPr>
          <w:noProof/>
          <w:vertAlign w:val="superscript"/>
        </w:rPr>
        <w:t>48</w:t>
      </w:r>
      <w:r w:rsidR="00D32FFD">
        <w:fldChar w:fldCharType="end"/>
      </w:r>
      <w:r w:rsidRPr="00F20185">
        <w:t xml:space="preserve"> In contrast, weak dispersion interaction</w:t>
      </w:r>
      <w:r w:rsidR="00EB1D92">
        <w:t>s</w:t>
      </w:r>
      <w:r w:rsidRPr="00F20185">
        <w:t xml:space="preserve"> between aliphatic side </w:t>
      </w:r>
      <w:proofErr w:type="gramStart"/>
      <w:r w:rsidRPr="00F20185">
        <w:t>chain</w:t>
      </w:r>
      <w:proofErr w:type="gramEnd"/>
      <w:r w:rsidRPr="00F20185">
        <w:t xml:space="preserve"> make corresponding amino acids rather good binders compared to aromatic </w:t>
      </w:r>
      <w:r w:rsidR="009A32EF" w:rsidRPr="00400A92">
        <w:rPr>
          <w:noProof/>
        </w:rPr>
        <w:t>analogue</w:t>
      </w:r>
      <w:r w:rsidRPr="00400A92">
        <w:rPr>
          <w:noProof/>
        </w:rPr>
        <w:t>s</w:t>
      </w:r>
      <w:r w:rsidRPr="00F20185">
        <w:t>.</w:t>
      </w:r>
    </w:p>
    <w:p w:rsidR="00A31C65" w:rsidRDefault="0068312A" w:rsidP="00A31C65">
      <w:pPr>
        <w:pStyle w:val="TAMainText"/>
        <w:jc w:val="center"/>
      </w:pPr>
      <w:r>
        <w:rPr>
          <w:noProof/>
          <w:lang w:val="ru-RU" w:eastAsia="ru-RU"/>
        </w:rPr>
        <w:lastRenderedPageBreak/>
        <w:drawing>
          <wp:inline distT="0" distB="0" distL="0" distR="0">
            <wp:extent cx="3056400" cy="2149270"/>
            <wp:effectExtent l="0" t="0" r="0" b="3810"/>
            <wp:docPr id="17" name="Picture 17" descr="C:\Users\Лена\Desktop\aliphaticaromatic1412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Лена\Desktop\aliphaticaromatic141218.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6400" cy="2149270"/>
                    </a:xfrm>
                    <a:prstGeom prst="rect">
                      <a:avLst/>
                    </a:prstGeom>
                    <a:noFill/>
                    <a:ln>
                      <a:noFill/>
                    </a:ln>
                  </pic:spPr>
                </pic:pic>
              </a:graphicData>
            </a:graphic>
          </wp:inline>
        </w:drawing>
      </w:r>
    </w:p>
    <w:p w:rsidR="00A31C65" w:rsidRPr="00F20185" w:rsidRDefault="00A31C65" w:rsidP="003474F9">
      <w:pPr>
        <w:pStyle w:val="VAFigureCaption"/>
      </w:pPr>
      <w:proofErr w:type="gramStart"/>
      <w:r w:rsidRPr="00F20185">
        <w:rPr>
          <w:b/>
        </w:rPr>
        <w:t>F</w:t>
      </w:r>
      <w:r w:rsidR="003474F9" w:rsidRPr="00F20185">
        <w:rPr>
          <w:b/>
        </w:rPr>
        <w:t>igure 5.</w:t>
      </w:r>
      <w:proofErr w:type="gramEnd"/>
      <w:r w:rsidR="003474F9" w:rsidRPr="00F20185">
        <w:t xml:space="preserve"> Dependences of the Gibbs free energy of the aliphatic</w:t>
      </w:r>
      <w:r w:rsidR="006A1817">
        <w:t xml:space="preserve"> (blue)</w:t>
      </w:r>
      <w:r w:rsidR="003474F9" w:rsidRPr="00F20185">
        <w:t xml:space="preserve"> and aromatic</w:t>
      </w:r>
      <w:r w:rsidR="006A1817">
        <w:t xml:space="preserve"> (red)</w:t>
      </w:r>
      <w:r w:rsidR="003474F9" w:rsidRPr="00F20185">
        <w:t xml:space="preserve"> amino acids adsorption on temperatures.</w:t>
      </w:r>
    </w:p>
    <w:p w:rsidR="003474F9" w:rsidRDefault="003474F9" w:rsidP="00FF302B">
      <w:pPr>
        <w:pStyle w:val="TAMainText"/>
      </w:pPr>
      <w:r w:rsidRPr="00F20185">
        <w:t>According to the recent spectroscopic studies</w:t>
      </w:r>
      <w:r w:rsidR="00D32FFD">
        <w:fldChar w:fldCharType="begin" w:fldLock="1"/>
      </w:r>
      <w:r w:rsidR="00773999">
        <w:instrText xml:space="preserve">ADDIN CSL_CITATION {"citationItems":[{"id":"ITEM-1","itemData":{"DOI":"10.1021/la980425n","abstract":"The first in situ internal reflection infrared spectroscopic study of lysine adsorption from an aqueous solution to TiO2 films is reported. The infrared spectrum of lysine adsorbed to TiO2 from an aqueous solution at an intermediate pH of </w:instrText>
      </w:r>
      <w:r w:rsidR="00773999">
        <w:rPr>
          <w:rFonts w:ascii="Cambria Math" w:hAnsi="Cambria Math" w:cs="Cambria Math"/>
        </w:rPr>
        <w:instrText>∼</w:instrText>
      </w:r>
      <w:r w:rsidR="00773999">
        <w:instrText xml:space="preserve">5-7 strongly resembles that of solution lysine, indicating that lysine is electrostatically adsorbed. At this pH, favorable electrostatic interactions occur between the lysine cation and the negatively charged TiO2 film (point of zero charge at pH </w:instrText>
      </w:r>
      <w:r w:rsidR="00773999">
        <w:rPr>
          <w:rFonts w:ascii="Cambria Math" w:hAnsi="Cambria Math" w:cs="Cambria Math"/>
        </w:rPr>
        <w:instrText>∼</w:instrText>
      </w:r>
      <w:r w:rsidR="00773999">
        <w:instrText xml:space="preserve">5). A Langmuir isotherm analysis was used to obtain an equilibrium constant for lysine adsorption at pH 7.4 of 3 </w:instrText>
      </w:r>
      <w:r w:rsidR="00773999">
        <w:rPr>
          <w:rFonts w:cs="Times"/>
        </w:rPr>
        <w:instrText>×</w:instrText>
      </w:r>
      <w:r w:rsidR="00773999">
        <w:instrText xml:space="preserve"> 10 3 M -1 , consistent with an electrostatically adsorbed surface species. Increasing the crystallinity of the TiO2 film did not affect lysine adsorption. The surface titration by internal reflection spectroscopy (STIRS) technique has been used to investigate the effect of pH change on lysine adsorption to TiO2. Maximum lysine adsorption to TiO2 occurs near the lysine isoelectric point of 9.8.","author":[{"dropping-particle":"","family":"Roddick-Lanzilotta","given":"Alisa D","non-dropping-particle":"","parse-names":false,"suffix":""},{"dropping-particle":"","family":"Connor","given":"Paul A","non-dropping-particle":"","parse-names":false,"suffix":""},{"dropping-particle":"","family":"Mcquillan","given":"A James","non-dropping-particle":"","parse-names":false,"suffix":""}],"container-title":"Langmuir","id":"ITEM-1","issued":{"date-parts":[["1998"]]},"page":"6479-6484","title":"An In Situ Infrared Spectroscopic Study of the Adsorption of Lysine to TiO 2 from an Aqueous Solution","type":"article-journal","volume":"14"},"uris":["http://www.mendeley.com/documents/?uuid=72db7211-e67b-457d-85c3-fe7a430b499f"]},{"id":"ITEM-2","itemData":{"DOI":"10.1016/j.vibspec.2008.07.014","ISSN":"09242031","abstract":"Sum frequency generation vibrational spectroscopy (SFG) is a powerful tool for in situ investigation of adsorption processes at biologically important solid-liquid interfaces. In this work adsorption of different amino acids was investigated by SFG at the titanium-dioxide-amino acid solution interface. While both naturally occurring acidic amino acids, aspartic acid and glutamic acid, were found to form an ordered adsorbate layer, amino acids with non-acidic side chains exhibited little affinity towards TiO2. A detailed study of aspartic acid on TiO2 pointed out that both carboxylic groups of the molecule are coordinated to the surface; data taken in the carboxyl stretching frequency range revealed that one of them is bonded monodentally to a surface Ti ion, while the other is most probably stabilized by a hydrogen bond. The results indicate that the acidic side chain is the prerequisite of the formation of a stable, ordered amino acid adsorbate layer on TiO2. © 2008 Elsevier B.V. All rights reserved.","author":[{"dropping-particle":"","family":"Pászti","given":"Z.","non-dropping-particle":"","parse-names":false,"suffix":""},{"dropping-particle":"","family":"Guczi","given":"L.","non-dropping-particle":"","parse-names":false,"suffix":""}],"container-title":"Vibrational Spectroscopy","id":"ITEM-2","issue":"1","issued":{"date-parts":[["2009"]]},"page":"48-56","title":"Amino acid adsorption on hydrophilic TiO2: A sum frequency generation vibrational spectroscopy study","type":"article-journal","volume":"50"},"uris":["http://www.mendeley.com/documents/?uuid=8e0ce918-1e74-4338-aea7-0918f3702c44"]}],"mendeley":{"formattedCitation":"&lt;sup&gt;13,18&lt;/sup&gt;","plainTextFormattedCitation":"13,18","previouslyFormattedCitation":"&lt;sup&gt;13,18&lt;/sup&gt;"},"properties":{"noteIndex":0},"schema":"https://github.com/citation-style-language/schema/raw/master/csl-citation.json"}</w:instrText>
      </w:r>
      <w:r w:rsidR="00D32FFD">
        <w:fldChar w:fldCharType="separate"/>
      </w:r>
      <w:r w:rsidR="00D32FFD" w:rsidRPr="00D32FFD">
        <w:rPr>
          <w:noProof/>
          <w:vertAlign w:val="superscript"/>
        </w:rPr>
        <w:t>13,18</w:t>
      </w:r>
      <w:r w:rsidR="00D32FFD">
        <w:fldChar w:fldCharType="end"/>
      </w:r>
      <w:r w:rsidRPr="00F20185">
        <w:t xml:space="preserve"> and previous simulations</w:t>
      </w:r>
      <w:r w:rsidR="00D32FFD">
        <w:fldChar w:fldCharType="begin" w:fldLock="1"/>
      </w:r>
      <w:r w:rsidR="00773999">
        <w:instrText>ADDIN CSL_CITATION {"citationItems":[{"id":"ITEM-1","itemData":{"DOI":"10.1021/jp107859q","ISBN":"1932-7447","ISSN":"19327447","abstract":"The potential of mean constraint force approach, in partnership with atomistic molecular dynamics simulations, is used to calculate the change in free energy upon adsorption of amino acid side chain analogues at the aqueous rutile titania (110) interface. Our results indicate that both positively charged and negatively charged moieties have favorable free energy of binding to the titania surface. Stable contact, mediated via the first two solvent layers at the interface, is also indicated for the charged adsorbates. Hydrophobic adsorbates showed no appreciable binding to the titania surface. In contrast, the binding for our serine analogue (methanol) features a slight possibility to bind via hydrogen bonding to the titania surface. Our calculated results indicate very good agreement with available experimental data. In partnership with other information regarding peptide conformation and intrapeptide interactions, our findings should be helpful in building design principles for peptide sequences with predictable and controllable binding to titania.","author":[{"dropping-particle":"","family":"Monti","given":"S.","non-dropping-particle":"","parse-names":false,"suffix":""},{"dropping-particle":"","family":"Walsh","given":"T. R.","non-dropping-particle":"","parse-names":false,"suffix":""}],"container-title":"Journal of Physical Chemistry C","id":"ITEM-1","issued":{"date-parts":[["2010"]]},"title":"Free energy calculations of the adsorption of amino acid analogues at the aqueous titania interface","type":"article-journal"},"uris":["http://www.mendeley.com/documents/?uuid=57094c7e-9aea-47dd-b593-f06a1e940547"]},{"id":"ITEM-2","itemData":{"DOI":"10.1021/la503312d","ISBN":"0743-7463, 1520-5827","ISSN":"15205827","PMID":"25317483","abstract":"Despite the extensive utilization of biomolecule-titania interfaces, biomolecular recognition and interactions at the aqueous titania interface remain far from being fully understood. Here, atomistic molecular dynamics simulations, in partnership with metadynamics, are used to calculate the free energy of adsorption of different amino acid side chain analogues at the negatively-charged aqueous rutile TiO2 (110) interface, under conditions corresponding with neutral pH. Our calculations predict that charged amino acid analogues have a relatively high affinity to the titania surface, with the arginine analogue predicted to be the strongest binder. Interactions between uncharged amino acid analogues and titania are found to be repulsive or weak at best. All of the residues that bound to the negatively-charged interface show a relatively stronger adsorption compared with the charge-neutral interface, including the negatively-charged analogue. Of the analogues that are found to bind to the titania surface, the rank ordering of the binding affinities is predicted to be \"arginine\" &gt; \"lysine\" ≈ aspartic acid &gt; \"serine\". This is the same ordering as was found previously for the charge-neutral aqueous titania interface. Our results show very good agreement with available experimental data and can provide a baseline for the interpretation of peptide-TiO2 adsorption data.","author":[{"dropping-particle":"","family":"Sultan","given":"Anas M.","non-dropping-particle":"","parse-names":false,"suffix":""},{"dropping-particle":"","family":"Hughes","given":"Zak E.","non-dropping-particle":"","parse-names":false,"suffix":""},{"dropping-particle":"","family":"Walsh","given":"Tiffany R.","non-dropping-particle":"","parse-names":false,"suffix":""}],"container-title":"Langmuir","id":"ITEM-2","issued":{"date-parts":[["2014"]]},"title":"Binding affinities of amino acid analogues at the charged aqueous titania interface: Implications for titania-binding peptides","type":"article-journal"},"uris":["http://www.mendeley.com/documents/?uuid=bd4a19db-1571-4895-8b61-04adc22348f3"]},{"id":"ITEM-3","itemData":{"DOI":"10.1038/srep37761","ISSN":"2045-2322","PMID":"27883086","author":[{"dropping-particle":"","family":"Liu","given":"Shengtang","non-dropping-particle":"","parse-names":false,"suffix":""},{"dropping-particle":"","family":"Meng","given":"Xuan-Yu","non-dropping-particle":"","parse-names":false,"suffix":""},{"dropping-particle":"","family":"Perez-Aguilar","given":"Jose Manuel","non-dropping-particle":"","parse-names":false,"suffix":""},{"dropping-particle":"","family":"Zhou","given":"Ruhong","non-dropping-particle":"","parse-names":false,"suffix":""}],"container-title":"Scientific Reports","id":"ITEM-3","issue":"1","issued":{"date-parts":[["2016"]]},"page":"37761","publisher":"Nature Publishing Group","title":"An In Silico study of TiO2 nanoparticles interaction with twenty standard amino acids in aqueous solution","type":"article-journal","volume":"6"},"uris":["http://www.mendeley.com/documents/?uuid=760b2e8c-d6ab-4944-90f4-43570c23a3ec"]}],"mendeley":{"formattedCitation":"&lt;sup&gt;27,28,30&lt;/sup&gt;","plainTextFormattedCitation":"27,28,30","previouslyFormattedCitation":"&lt;sup&gt;27,28,30&lt;/sup&gt;"},"properties":{"noteIndex":0},"schema":"https://github.com/citation-style-language/schema/raw/master/csl-citation.json"}</w:instrText>
      </w:r>
      <w:r w:rsidR="00D32FFD">
        <w:fldChar w:fldCharType="separate"/>
      </w:r>
      <w:r w:rsidR="00773999" w:rsidRPr="00773999">
        <w:rPr>
          <w:noProof/>
          <w:vertAlign w:val="superscript"/>
        </w:rPr>
        <w:t>27,28,30</w:t>
      </w:r>
      <w:r w:rsidR="00D32FFD">
        <w:fldChar w:fldCharType="end"/>
      </w:r>
      <w:r w:rsidRPr="00F20185">
        <w:t xml:space="preserve"> charged amino acids – </w:t>
      </w:r>
      <w:proofErr w:type="spellStart"/>
      <w:r w:rsidRPr="00F20185">
        <w:t>Arg</w:t>
      </w:r>
      <w:proofErr w:type="spellEnd"/>
      <w:r w:rsidRPr="00F20185">
        <w:t xml:space="preserve">, Lys, </w:t>
      </w:r>
      <w:proofErr w:type="spellStart"/>
      <w:r w:rsidRPr="00F20185">
        <w:t>Glu</w:t>
      </w:r>
      <w:proofErr w:type="spellEnd"/>
      <w:r w:rsidR="00C847CB">
        <w:t>,</w:t>
      </w:r>
      <w:r w:rsidRPr="00F20185">
        <w:t xml:space="preserve"> and Asp – are more prone to be adsorbed onto the TiO</w:t>
      </w:r>
      <w:r w:rsidRPr="00F20185">
        <w:rPr>
          <w:vertAlign w:val="subscript"/>
        </w:rPr>
        <w:t>2</w:t>
      </w:r>
      <w:r w:rsidRPr="00F20185">
        <w:t xml:space="preserve"> NP surface than non-charged amino acids. Our data show that these are true only for basic amino acids Lysine and Arginine, which exhibit </w:t>
      </w:r>
      <w:r w:rsidR="00B05F06">
        <w:t xml:space="preserve">the </w:t>
      </w:r>
      <w:r w:rsidRPr="00F20185">
        <w:t xml:space="preserve">strongest affinity, while Aspartic and Glutamic acids show </w:t>
      </w:r>
      <w:r w:rsidR="00B05F06">
        <w:t xml:space="preserve">the </w:t>
      </w:r>
      <w:r w:rsidRPr="00F20185">
        <w:t>weakest affinity (</w:t>
      </w:r>
      <w:r w:rsidR="004E4038" w:rsidRPr="00F20185">
        <w:t xml:space="preserve">except for </w:t>
      </w:r>
      <w:proofErr w:type="spellStart"/>
      <w:r w:rsidR="004E4038" w:rsidRPr="00F20185">
        <w:t>Trp</w:t>
      </w:r>
      <w:proofErr w:type="spellEnd"/>
      <w:r w:rsidR="004E4038" w:rsidRPr="00F20185">
        <w:t xml:space="preserve"> and His at 273</w:t>
      </w:r>
      <w:r w:rsidR="004E4038" w:rsidRPr="00F20185">
        <w:rPr>
          <w:rFonts w:cs="Times"/>
        </w:rPr>
        <w:t>÷</w:t>
      </w:r>
      <w:r w:rsidRPr="00F20185">
        <w:t>283 °C). Based on the previously determined values of the isoelectric points of the nanocrystalline anatase,</w:t>
      </w:r>
      <w:r w:rsidR="00440C72">
        <w:fldChar w:fldCharType="begin" w:fldLock="1"/>
      </w:r>
      <w:r w:rsidR="00773999">
        <w:instrText>ADDIN CSL_CITATION {"citationItems":[{"id":"ITEM-1","itemData":{"DOI":"10.1016/S0001-8686(02)00080-5","ISBN":"0193-2691","ISSN":"00018686","PMID":"12509117","abstract":"The points of zero charge (PZC) of titanium dioxide reported in the literature range from 2 to 8.9. A set of 138 PZC of titanium dioxide was used to explore the effect of the crystalline structure on the PZC. The average and median PZC at pH 5.6 and 5.8, respectively, was found when the entire data set was taken into account. The PZC of anatase (31 entries, average and median 5.9 and 6, respectively) is slightly higher than that of rutile (49 entries, average and median 5.4 and 5.5, respectively), and the difference between the polymorphs corresponds to half of a standard deviation in each set of PZC. © 2002 Elsevier Science B.V. All rights reserved.","author":[{"dropping-particle":"","family":"Kosmulski","given":"Marek","non-dropping-particle":"","parse-names":false,"suffix":""}],"container-title":"Advances in Colloid and Interface Science","id":"ITEM-1","issue":"3","issued":{"date-parts":[["2002"]]},"page":"255-264","title":"The significance of the difference in the point of zero charge between rutile and anatase","type":"article-journal","volume":"99"},"uris":["http://www.mendeley.com/documents/?uuid=557e1fe6-3280-4e32-a466-d27d4e90a160"]}],"mendeley":{"formattedCitation":"&lt;sup&gt;49&lt;/sup&gt;","plainTextFormattedCitation":"49","previouslyFormattedCitation":"&lt;sup&gt;49&lt;/sup&gt;"},"properties":{"noteIndex":0},"schema":"https://github.com/citation-style-language/schema/raw/master/csl-citation.json"}</w:instrText>
      </w:r>
      <w:r w:rsidR="00440C72">
        <w:fldChar w:fldCharType="separate"/>
      </w:r>
      <w:r w:rsidR="00440C72" w:rsidRPr="00440C72">
        <w:rPr>
          <w:noProof/>
          <w:vertAlign w:val="superscript"/>
        </w:rPr>
        <w:t>49</w:t>
      </w:r>
      <w:r w:rsidR="00440C72">
        <w:fldChar w:fldCharType="end"/>
      </w:r>
      <w:r w:rsidRPr="00F20185">
        <w:t xml:space="preserve"> the surface of the TiO</w:t>
      </w:r>
      <w:r w:rsidRPr="00F20185">
        <w:rPr>
          <w:vertAlign w:val="subscript"/>
        </w:rPr>
        <w:t>2</w:t>
      </w:r>
      <w:r w:rsidRPr="00F20185">
        <w:t xml:space="preserve"> is negatively charged under the experimental conditions, thus the antipodal activity of amino acids with charged side functions is explained with predominantly electrostatic nature of the adsorption (</w:t>
      </w:r>
      <w:r w:rsidRPr="00F20185">
        <w:rPr>
          <w:b/>
        </w:rPr>
        <w:t>Figure 6</w:t>
      </w:r>
      <w:r w:rsidRPr="00F20185">
        <w:t>).</w:t>
      </w:r>
    </w:p>
    <w:p w:rsidR="0068312A" w:rsidRDefault="0068312A" w:rsidP="0068312A">
      <w:pPr>
        <w:pStyle w:val="TAMainText"/>
        <w:jc w:val="center"/>
      </w:pPr>
      <w:r>
        <w:rPr>
          <w:noProof/>
          <w:lang w:val="ru-RU" w:eastAsia="ru-RU"/>
        </w:rPr>
        <w:lastRenderedPageBreak/>
        <w:drawing>
          <wp:inline distT="0" distB="0" distL="0" distR="0">
            <wp:extent cx="3056400" cy="2149270"/>
            <wp:effectExtent l="0" t="0" r="0" b="3810"/>
            <wp:docPr id="19" name="Picture 19" descr="C:\Users\Лена\Desktop\aspglulysarg1412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Лена\Desktop\aspglulysarg141218.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56400" cy="2149270"/>
                    </a:xfrm>
                    <a:prstGeom prst="rect">
                      <a:avLst/>
                    </a:prstGeom>
                    <a:noFill/>
                    <a:ln>
                      <a:noFill/>
                    </a:ln>
                  </pic:spPr>
                </pic:pic>
              </a:graphicData>
            </a:graphic>
          </wp:inline>
        </w:drawing>
      </w:r>
    </w:p>
    <w:p w:rsidR="00AC0526" w:rsidRPr="00F20185" w:rsidRDefault="00DF29E0" w:rsidP="00DF29E0">
      <w:pPr>
        <w:pStyle w:val="VAFigureCaption"/>
      </w:pPr>
      <w:proofErr w:type="gramStart"/>
      <w:r w:rsidRPr="00F20185">
        <w:rPr>
          <w:b/>
        </w:rPr>
        <w:t>Figure 6.</w:t>
      </w:r>
      <w:proofErr w:type="gramEnd"/>
      <w:r w:rsidRPr="00F20185">
        <w:t xml:space="preserve"> Dependences of the Gibbs free energy of the charged amino acids adsorption on temperatures.</w:t>
      </w:r>
    </w:p>
    <w:p w:rsidR="00950ECD" w:rsidRDefault="00DF29E0" w:rsidP="00950ECD">
      <w:pPr>
        <w:pStyle w:val="TAMainText"/>
      </w:pPr>
      <w:r w:rsidRPr="00F20185">
        <w:t>Although majority of amino acids have a smooth linear trend of Gibbs free energy decrease upon heating, some exhibit complex behavior including formation of local maxima (</w:t>
      </w:r>
      <w:proofErr w:type="spellStart"/>
      <w:r w:rsidRPr="00F20185">
        <w:t>G</w:t>
      </w:r>
      <w:r w:rsidR="00907DC1" w:rsidRPr="00F20185">
        <w:t>ln</w:t>
      </w:r>
      <w:proofErr w:type="spellEnd"/>
      <w:r w:rsidR="00907DC1" w:rsidRPr="00F20185">
        <w:t>, Val) or minima (</w:t>
      </w:r>
      <w:proofErr w:type="spellStart"/>
      <w:r w:rsidR="00907DC1" w:rsidRPr="00F20185">
        <w:t>Trp</w:t>
      </w:r>
      <w:proofErr w:type="spellEnd"/>
      <w:r w:rsidR="00907DC1" w:rsidRPr="00F20185">
        <w:t>) (</w:t>
      </w:r>
      <w:r w:rsidR="00907DC1" w:rsidRPr="00F20185">
        <w:rPr>
          <w:b/>
        </w:rPr>
        <w:t>Figure 7A</w:t>
      </w:r>
      <w:r w:rsidRPr="00F20185">
        <w:t>), interestingly coinciding at 20</w:t>
      </w:r>
      <w:r w:rsidR="00907DC1" w:rsidRPr="00F20185">
        <w:t> </w:t>
      </w:r>
      <w:r w:rsidRPr="00F20185">
        <w:t xml:space="preserve">°C, or sharp </w:t>
      </w:r>
      <w:r w:rsidR="00907DC1" w:rsidRPr="00F20185">
        <w:t>change of the trend (Pro) (</w:t>
      </w:r>
      <w:r w:rsidR="00907DC1" w:rsidRPr="00F20185">
        <w:rPr>
          <w:b/>
        </w:rPr>
        <w:t>Figure 7B</w:t>
      </w:r>
      <w:r w:rsidRPr="00F20185">
        <w:t>). Complex behavior makes extraction of the enthalpy and entropy challenging, creating deviations in the series of enthalpies.</w:t>
      </w:r>
      <w:r w:rsidR="00950ECD" w:rsidRPr="00F20185">
        <w:t xml:space="preserve"> </w:t>
      </w:r>
      <w:r w:rsidR="00950ECD">
        <w:t>S</w:t>
      </w:r>
      <w:r w:rsidR="00950ECD" w:rsidRPr="00F20185">
        <w:t>uch abnormalities are</w:t>
      </w:r>
      <w:r w:rsidR="00950ECD">
        <w:t xml:space="preserve"> likely</w:t>
      </w:r>
      <w:r w:rsidR="00950ECD" w:rsidRPr="00F20185">
        <w:t xml:space="preserve"> associated with the cha</w:t>
      </w:r>
      <w:r w:rsidR="007711D9">
        <w:t>nge in the adsorption mechanism</w:t>
      </w:r>
      <w:r w:rsidR="00950ECD" w:rsidRPr="00F20185">
        <w:t xml:space="preserve"> and demand additional studies.</w:t>
      </w:r>
    </w:p>
    <w:p w:rsidR="00DF29E0" w:rsidRDefault="00DF29E0" w:rsidP="00FF302B">
      <w:pPr>
        <w:pStyle w:val="TAMainText"/>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07DC1" w:rsidTr="00907DC1">
        <w:trPr>
          <w:jc w:val="center"/>
        </w:trPr>
        <w:tc>
          <w:tcPr>
            <w:tcW w:w="4788" w:type="dxa"/>
            <w:vAlign w:val="center"/>
          </w:tcPr>
          <w:p w:rsidR="00907DC1" w:rsidRDefault="0068312A" w:rsidP="00907DC1">
            <w:pPr>
              <w:pStyle w:val="TCTableBody"/>
              <w:jc w:val="center"/>
            </w:pPr>
            <w:r>
              <w:rPr>
                <w:noProof/>
                <w:lang w:eastAsia="ru-RU"/>
              </w:rPr>
              <w:drawing>
                <wp:inline distT="0" distB="0" distL="0" distR="0" wp14:anchorId="06B7FEA0" wp14:editId="5BAFF5C6">
                  <wp:extent cx="3056400" cy="2149270"/>
                  <wp:effectExtent l="0" t="0" r="0" b="3810"/>
                  <wp:docPr id="26" name="Picture 26" descr="C:\Users\Лена\Desktop\trpglnval1412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Лена\Desktop\trpglnval141218.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56400" cy="2149270"/>
                          </a:xfrm>
                          <a:prstGeom prst="rect">
                            <a:avLst/>
                          </a:prstGeom>
                          <a:noFill/>
                          <a:ln>
                            <a:noFill/>
                          </a:ln>
                        </pic:spPr>
                      </pic:pic>
                    </a:graphicData>
                  </a:graphic>
                </wp:inline>
              </w:drawing>
            </w:r>
          </w:p>
        </w:tc>
        <w:tc>
          <w:tcPr>
            <w:tcW w:w="4788" w:type="dxa"/>
            <w:vAlign w:val="center"/>
          </w:tcPr>
          <w:p w:rsidR="00907DC1" w:rsidRDefault="0068312A" w:rsidP="00907DC1">
            <w:pPr>
              <w:pStyle w:val="TCTableBody"/>
              <w:jc w:val="center"/>
            </w:pPr>
            <w:r>
              <w:rPr>
                <w:noProof/>
                <w:lang w:eastAsia="ru-RU"/>
              </w:rPr>
              <w:drawing>
                <wp:inline distT="0" distB="0" distL="0" distR="0">
                  <wp:extent cx="3056400" cy="2149270"/>
                  <wp:effectExtent l="0" t="0" r="0" b="3810"/>
                  <wp:docPr id="33" name="Picture 33" descr="C:\Users\Лена\Desktop\pro1412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Лена\Desktop\pro141218.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6400" cy="2149270"/>
                          </a:xfrm>
                          <a:prstGeom prst="rect">
                            <a:avLst/>
                          </a:prstGeom>
                          <a:noFill/>
                          <a:ln>
                            <a:noFill/>
                          </a:ln>
                        </pic:spPr>
                      </pic:pic>
                    </a:graphicData>
                  </a:graphic>
                </wp:inline>
              </w:drawing>
            </w:r>
          </w:p>
        </w:tc>
      </w:tr>
      <w:tr w:rsidR="00907DC1" w:rsidTr="00907DC1">
        <w:trPr>
          <w:jc w:val="center"/>
        </w:trPr>
        <w:tc>
          <w:tcPr>
            <w:tcW w:w="4788" w:type="dxa"/>
            <w:vAlign w:val="center"/>
          </w:tcPr>
          <w:p w:rsidR="00907DC1" w:rsidRPr="00907DC1" w:rsidRDefault="00907DC1" w:rsidP="00907DC1">
            <w:pPr>
              <w:pStyle w:val="TCTableBody"/>
              <w:jc w:val="center"/>
              <w:rPr>
                <w:lang w:val="en-US"/>
              </w:rPr>
            </w:pPr>
            <w:r>
              <w:rPr>
                <w:lang w:val="en-US"/>
              </w:rPr>
              <w:t>A</w:t>
            </w:r>
          </w:p>
        </w:tc>
        <w:tc>
          <w:tcPr>
            <w:tcW w:w="4788" w:type="dxa"/>
            <w:vAlign w:val="center"/>
          </w:tcPr>
          <w:p w:rsidR="00907DC1" w:rsidRPr="00907DC1" w:rsidRDefault="00907DC1" w:rsidP="00907DC1">
            <w:pPr>
              <w:pStyle w:val="TCTableBody"/>
              <w:jc w:val="center"/>
              <w:rPr>
                <w:lang w:val="en-US"/>
              </w:rPr>
            </w:pPr>
            <w:r>
              <w:rPr>
                <w:lang w:val="en-US"/>
              </w:rPr>
              <w:t>B</w:t>
            </w:r>
          </w:p>
        </w:tc>
      </w:tr>
    </w:tbl>
    <w:p w:rsidR="00907DC1" w:rsidRPr="00F20185" w:rsidRDefault="00907DC1" w:rsidP="00907DC1">
      <w:pPr>
        <w:pStyle w:val="VAFigureCaption"/>
      </w:pPr>
      <w:proofErr w:type="gramStart"/>
      <w:r w:rsidRPr="00F20185">
        <w:rPr>
          <w:b/>
        </w:rPr>
        <w:lastRenderedPageBreak/>
        <w:t>Figure 7.</w:t>
      </w:r>
      <w:proofErr w:type="gramEnd"/>
      <w:r w:rsidRPr="00F20185">
        <w:t xml:space="preserve"> Dependences of the Gibbs free energy of the </w:t>
      </w:r>
      <w:proofErr w:type="spellStart"/>
      <w:r w:rsidR="007B7197" w:rsidRPr="00F20185">
        <w:t>Trp</w:t>
      </w:r>
      <w:proofErr w:type="spellEnd"/>
      <w:r w:rsidR="007B7197" w:rsidRPr="00F20185">
        <w:t xml:space="preserve">, </w:t>
      </w:r>
      <w:proofErr w:type="spellStart"/>
      <w:r w:rsidR="007B7197" w:rsidRPr="00F20185">
        <w:t>Gln</w:t>
      </w:r>
      <w:proofErr w:type="spellEnd"/>
      <w:r w:rsidR="007B7197" w:rsidRPr="00F20185">
        <w:t xml:space="preserve">, </w:t>
      </w:r>
      <w:proofErr w:type="gramStart"/>
      <w:r w:rsidR="007B7197" w:rsidRPr="00F20185">
        <w:t>Val</w:t>
      </w:r>
      <w:proofErr w:type="gramEnd"/>
      <w:r w:rsidR="007B7197" w:rsidRPr="00F20185">
        <w:t xml:space="preserve"> (A) and Pro (B)</w:t>
      </w:r>
      <w:r w:rsidRPr="00F20185">
        <w:t xml:space="preserve"> adsorption on temperatures.</w:t>
      </w:r>
    </w:p>
    <w:p w:rsidR="00FF302B" w:rsidRDefault="00FF302B" w:rsidP="00FF302B">
      <w:pPr>
        <w:pStyle w:val="TAMainText"/>
      </w:pPr>
      <w:r w:rsidRPr="00FF302B">
        <w:t>Comparing the saturation A</w:t>
      </w:r>
      <w:r w:rsidRPr="00FF302B">
        <w:rPr>
          <w:vertAlign w:val="subscript"/>
        </w:rPr>
        <w:t>m</w:t>
      </w:r>
      <w:r w:rsidRPr="00FF302B">
        <w:t xml:space="preserve"> values for the observed 18 amino acids, calculated from the BET model, we established the affinity sequences (</w:t>
      </w:r>
      <w:r w:rsidRPr="006E79D2">
        <w:rPr>
          <w:b/>
        </w:rPr>
        <w:t>Table 2</w:t>
      </w:r>
      <w:r w:rsidR="002D482C">
        <w:t>).</w:t>
      </w:r>
    </w:p>
    <w:p w:rsidR="00742CFA" w:rsidRDefault="00742CFA" w:rsidP="00742CFA">
      <w:pPr>
        <w:pStyle w:val="VDTableTitle"/>
        <w:rPr>
          <w:b/>
        </w:rPr>
        <w:sectPr w:rsidR="00742CFA" w:rsidSect="000B5610">
          <w:footerReference w:type="even" r:id="rId56"/>
          <w:footerReference w:type="default" r:id="rId57"/>
          <w:type w:val="continuous"/>
          <w:pgSz w:w="12240" w:h="15840"/>
          <w:pgMar w:top="1440" w:right="1440" w:bottom="1440" w:left="1440" w:header="0" w:footer="0" w:gutter="0"/>
          <w:cols w:space="475"/>
          <w:docGrid w:linePitch="326"/>
        </w:sectPr>
      </w:pPr>
    </w:p>
    <w:p w:rsidR="00645136" w:rsidRDefault="00742CFA" w:rsidP="00742CFA">
      <w:pPr>
        <w:pStyle w:val="VDTableTitle"/>
      </w:pPr>
      <w:proofErr w:type="gramStart"/>
      <w:r w:rsidRPr="00742CFA">
        <w:rPr>
          <w:b/>
        </w:rPr>
        <w:lastRenderedPageBreak/>
        <w:t>Table 2.</w:t>
      </w:r>
      <w:proofErr w:type="gramEnd"/>
      <w:r w:rsidRPr="00742CFA">
        <w:t xml:space="preserve"> The </w:t>
      </w:r>
      <w:r w:rsidR="00950ECD" w:rsidRPr="00397B53">
        <w:t>adsorption capacity</w:t>
      </w:r>
      <w:r w:rsidR="00950ECD">
        <w:t xml:space="preserve"> </w:t>
      </w:r>
      <w:r w:rsidRPr="00742CFA">
        <w:t xml:space="preserve">of </w:t>
      </w:r>
      <w:r w:rsidRPr="00F23E5E">
        <w:rPr>
          <w:i/>
        </w:rPr>
        <w:t>L</w:t>
      </w:r>
      <w:r w:rsidR="00397B53">
        <w:t>-amino acids</w:t>
      </w:r>
      <w:r w:rsidR="0042281D" w:rsidRPr="0042281D">
        <w:t xml:space="preserve"> </w:t>
      </w:r>
      <w:r w:rsidR="0042281D" w:rsidRPr="00397B53">
        <w:t>at</w:t>
      </w:r>
      <w:r w:rsidRPr="00397B53">
        <w:t xml:space="preserve"> </w:t>
      </w:r>
      <w:r w:rsidRPr="00742CFA">
        <w:t>nanocrystalline titanium</w:t>
      </w:r>
      <w:r w:rsidR="00950ECD">
        <w:t xml:space="preserve"> </w:t>
      </w:r>
      <w:r w:rsidR="0042281D">
        <w:t xml:space="preserve">dioxide </w:t>
      </w:r>
      <w:r w:rsidR="00950ECD" w:rsidRPr="00397B53">
        <w:t>at different temperatures</w:t>
      </w:r>
      <w:r w:rsidRPr="00742CFA">
        <w:t xml:space="preserve"> (the amino acids are ordered according to their affinity to TiO</w:t>
      </w:r>
      <w:r w:rsidRPr="00742CFA">
        <w:rPr>
          <w:vertAlign w:val="subscript"/>
        </w:rPr>
        <w:t>2</w:t>
      </w:r>
      <w:r w:rsidRPr="00742CFA">
        <w:t xml:space="preserve"> which decreases from left to right).</w:t>
      </w:r>
    </w:p>
    <w:tbl>
      <w:tblPr>
        <w:tblW w:w="15513" w:type="dxa"/>
        <w:jc w:val="center"/>
        <w:tblLayout w:type="fixed"/>
        <w:tblLook w:val="04A0" w:firstRow="1" w:lastRow="0" w:firstColumn="1" w:lastColumn="0" w:noHBand="0" w:noVBand="1"/>
      </w:tblPr>
      <w:tblGrid>
        <w:gridCol w:w="904"/>
        <w:gridCol w:w="794"/>
        <w:gridCol w:w="838"/>
        <w:gridCol w:w="802"/>
        <w:gridCol w:w="802"/>
        <w:gridCol w:w="827"/>
        <w:gridCol w:w="827"/>
        <w:gridCol w:w="814"/>
        <w:gridCol w:w="789"/>
        <w:gridCol w:w="814"/>
        <w:gridCol w:w="827"/>
        <w:gridCol w:w="814"/>
        <w:gridCol w:w="777"/>
        <w:gridCol w:w="827"/>
        <w:gridCol w:w="738"/>
        <w:gridCol w:w="827"/>
        <w:gridCol w:w="847"/>
        <w:gridCol w:w="849"/>
        <w:gridCol w:w="789"/>
        <w:gridCol w:w="7"/>
      </w:tblGrid>
      <w:tr w:rsidR="00742CFA" w:rsidRPr="00D575DC" w:rsidTr="00742CFA">
        <w:trPr>
          <w:trHeight w:val="237"/>
          <w:jc w:val="center"/>
        </w:trPr>
        <w:tc>
          <w:tcPr>
            <w:tcW w:w="904" w:type="dxa"/>
            <w:tcBorders>
              <w:top w:val="single" w:sz="4" w:space="0" w:color="auto"/>
              <w:bottom w:val="single" w:sz="4" w:space="0" w:color="auto"/>
            </w:tcBorders>
            <w:shd w:val="clear" w:color="auto" w:fill="auto"/>
          </w:tcPr>
          <w:p w:rsidR="00742CFA" w:rsidRPr="00D575DC" w:rsidRDefault="00742CFA" w:rsidP="00742CFA">
            <w:pPr>
              <w:pStyle w:val="TCTableBody"/>
              <w:jc w:val="center"/>
            </w:pPr>
            <w:r w:rsidRPr="00D575DC">
              <w:t>T, </w:t>
            </w:r>
            <w:r w:rsidRPr="00D575DC">
              <w:rPr>
                <w:i/>
              </w:rPr>
              <w:t>K</w:t>
            </w:r>
          </w:p>
        </w:tc>
        <w:tc>
          <w:tcPr>
            <w:tcW w:w="14609" w:type="dxa"/>
            <w:gridSpan w:val="19"/>
            <w:tcBorders>
              <w:top w:val="single" w:sz="4" w:space="0" w:color="auto"/>
              <w:bottom w:val="single" w:sz="4" w:space="0" w:color="auto"/>
            </w:tcBorders>
          </w:tcPr>
          <w:p w:rsidR="00742CFA" w:rsidRPr="00D575DC" w:rsidRDefault="00742CFA" w:rsidP="00742CFA">
            <w:pPr>
              <w:pStyle w:val="TCTableBody"/>
              <w:jc w:val="center"/>
              <w:rPr>
                <w:i/>
              </w:rPr>
            </w:pPr>
            <w:r w:rsidRPr="00D575DC">
              <w:rPr>
                <w:i/>
              </w:rPr>
              <w:t>Amino acids</w:t>
            </w:r>
          </w:p>
        </w:tc>
      </w:tr>
      <w:tr w:rsidR="00742CFA" w:rsidRPr="00D575DC" w:rsidTr="00742CFA">
        <w:trPr>
          <w:gridAfter w:val="1"/>
          <w:wAfter w:w="7" w:type="dxa"/>
          <w:trHeight w:val="277"/>
          <w:jc w:val="center"/>
        </w:trPr>
        <w:tc>
          <w:tcPr>
            <w:tcW w:w="904" w:type="dxa"/>
            <w:tcBorders>
              <w:top w:val="single" w:sz="4" w:space="0" w:color="auto"/>
            </w:tcBorders>
            <w:shd w:val="clear" w:color="auto" w:fill="auto"/>
          </w:tcPr>
          <w:p w:rsidR="00742CFA" w:rsidRPr="00D575DC" w:rsidRDefault="00742CFA" w:rsidP="00742CFA">
            <w:pPr>
              <w:pStyle w:val="TCTableBody"/>
              <w:jc w:val="center"/>
            </w:pPr>
            <w:r w:rsidRPr="00D575DC">
              <w:t>273.15</w:t>
            </w:r>
          </w:p>
        </w:tc>
        <w:tc>
          <w:tcPr>
            <w:tcW w:w="794" w:type="dxa"/>
            <w:tcBorders>
              <w:top w:val="single" w:sz="4" w:space="0" w:color="auto"/>
            </w:tcBorders>
            <w:shd w:val="clear" w:color="auto" w:fill="9966FF"/>
          </w:tcPr>
          <w:p w:rsidR="00742CFA" w:rsidRPr="00D575DC" w:rsidRDefault="00742CFA" w:rsidP="00F903B1">
            <w:pPr>
              <w:pStyle w:val="TCTableBody"/>
              <w:jc w:val="center"/>
              <w:rPr>
                <w:b/>
              </w:rPr>
            </w:pPr>
            <w:r w:rsidRPr="00D575DC">
              <w:rPr>
                <w:b/>
              </w:rPr>
              <w:t>His</w:t>
            </w:r>
            <w:r w:rsidR="00D72AF9">
              <w:rPr>
                <w:b/>
              </w:rPr>
              <w:fldChar w:fldCharType="begin" w:fldLock="1"/>
            </w:r>
            <w:r w:rsidR="00773999">
              <w:rPr>
                <w:b/>
              </w:rPr>
              <w:instrText>ADDIN CSL_CITATION {"citationItems":[{"id":"ITEM-1","itemData":{"DOI":"10.1080/00021369.1966.10858601","ISBN":"0002-1369","ISSN":"00021369","abstract":"The solbilities of L-basic amino acids in the type of free, monohydro-chloride and dihydrochloride in water were determined, and the results were formulated as follows. L-Arginine: logS=0.9770+0.01345t (tis from 0°-70°C) L-Histidine: logS=0.3627+0.00905t (tis from 0°-70°C) L-Arginine monohydrochloride: log S= 1. 6532+0. 0130lt (t is from 0° - 70°C) L-Lysine monohydrochloride dihydrate: log S= 1.6990+0. 01294t (t is from 0° -55°C) L-Lysine monohydrochloride monohydrate: logS= 1. 7404+0.01256t (tis from 55° - 70°C) L-Lysine dihydrochloride: log S=2. 2138+0. 00409t (t is from 0° - 70°C) L-Histidine dihydrochl9ride: log S= 1. 9085+0. 00265t (t is from 0° - 70°C) Three component systems (basic amino acid, hydrochloric acid, water) were studied and the solubilities in mixed solution system of alcohol-water were also investigated.","author":[{"dropping-particle":"","family":"Hayashi","given":"Koichi","non-dropping-particle":"","parse-names":false,"suffix":""},{"dropping-particle":"","family":"Matsuda","given":"Tadaaki","non-dropping-particle":"","parse-names":false,"suffix":""},{"dropping-particle":"","family":"Takeyama","given":"Toru","non-dropping-particle":"","parse-names":false,"suffix":""},{"dropping-particle":"","family":"Hino","given":"Tetsuo","non-dropping-particle":"","parse-names":false,"suffix":""}],"container-title":"Agricultural and Biological Chemistry","id":"ITEM-1","issue":"4","issued":{"date-parts":[["1966"]]},"page":"378-384","title":"Solubilities studies of basic amino acids","type":"article-journal","volume":"30"},"uris":["http://www.mendeley.com/documents/?uuid=0bf4f32e-d996-40a6-b689-f8e97b74ae18"]}],"mendeley":{"formattedCitation":"&lt;sup&gt;40&lt;/sup&gt;","plainTextFormattedCitation":"40","previouslyFormattedCitation":"&lt;sup&gt;40&lt;/sup&gt;"},"properties":{"noteIndex":0},"schema":"https://github.com/citation-style-language/schema/raw/master/csl-citation.json"}</w:instrText>
            </w:r>
            <w:r w:rsidR="00D72AF9">
              <w:rPr>
                <w:b/>
              </w:rPr>
              <w:fldChar w:fldCharType="separate"/>
            </w:r>
            <w:r w:rsidR="00F903B1" w:rsidRPr="00F903B1">
              <w:rPr>
                <w:noProof/>
                <w:vertAlign w:val="superscript"/>
              </w:rPr>
              <w:t>40</w:t>
            </w:r>
            <w:r w:rsidR="00D72AF9">
              <w:rPr>
                <w:b/>
              </w:rPr>
              <w:fldChar w:fldCharType="end"/>
            </w:r>
          </w:p>
        </w:tc>
        <w:tc>
          <w:tcPr>
            <w:tcW w:w="838" w:type="dxa"/>
            <w:tcBorders>
              <w:top w:val="single" w:sz="4" w:space="0" w:color="auto"/>
            </w:tcBorders>
            <w:shd w:val="clear" w:color="auto" w:fill="CCFF33"/>
          </w:tcPr>
          <w:p w:rsidR="00742CFA" w:rsidRPr="00D575DC" w:rsidRDefault="00742CFA" w:rsidP="00F903B1">
            <w:pPr>
              <w:pStyle w:val="TCTableBody"/>
              <w:jc w:val="center"/>
              <w:rPr>
                <w:b/>
              </w:rPr>
            </w:pPr>
            <w:r w:rsidRPr="00D575DC">
              <w:rPr>
                <w:b/>
              </w:rPr>
              <w:t>Met</w:t>
            </w:r>
            <w:r w:rsidR="00D72AF9">
              <w:rPr>
                <w:b/>
              </w:rPr>
              <w:fldChar w:fldCharType="begin" w:fldLock="1"/>
            </w:r>
            <w:r w:rsidR="00773999">
              <w:rPr>
                <w:b/>
              </w:rPr>
              <w:instrText>ADDIN CSL_CITATION {"citationItems":[{"id":"ITEM-1","itemData":{"DOI":"10.1002/bip.1978.360170421","ISSN":"10970282","author":[{"dropping-particle":"","family":"J. B. Dalton","given":"C. L. A. Schmidt","non-dropping-particle":"","parse-names":false,"suffix":""}],"container-title":"J. Biol. Chem.","id":"ITEM-1","issued":{"date-parts":[["1935"]]},"page":"241-248","title":"Solubilities of amino acids","type":"article-journal","volume":"109"},"uris":["http://www.mendeley.com/documents/?uuid=09177ebf-3351-4fd0-8abb-ae013f802402"]}],"mendeley":{"formattedCitation":"&lt;sup&gt;39&lt;/sup&gt;","plainTextFormattedCitation":"39","previouslyFormattedCitation":"&lt;sup&gt;39&lt;/sup&gt;"},"properties":{"noteIndex":0},"schema":"https://github.com/citation-style-language/schema/raw/master/csl-citation.json"}</w:instrText>
            </w:r>
            <w:r w:rsidR="00D72AF9">
              <w:rPr>
                <w:b/>
              </w:rPr>
              <w:fldChar w:fldCharType="separate"/>
            </w:r>
            <w:r w:rsidR="00F903B1" w:rsidRPr="00F903B1">
              <w:rPr>
                <w:noProof/>
                <w:vertAlign w:val="superscript"/>
              </w:rPr>
              <w:t>39</w:t>
            </w:r>
            <w:r w:rsidR="00D72AF9">
              <w:rPr>
                <w:b/>
              </w:rPr>
              <w:fldChar w:fldCharType="end"/>
            </w:r>
          </w:p>
        </w:tc>
        <w:tc>
          <w:tcPr>
            <w:tcW w:w="802" w:type="dxa"/>
            <w:tcBorders>
              <w:top w:val="single" w:sz="4" w:space="0" w:color="auto"/>
            </w:tcBorders>
            <w:shd w:val="clear" w:color="auto" w:fill="008000"/>
          </w:tcPr>
          <w:p w:rsidR="00742CFA" w:rsidRPr="00D575DC" w:rsidRDefault="00742CFA" w:rsidP="00F903B1">
            <w:pPr>
              <w:pStyle w:val="TCTableBody"/>
              <w:jc w:val="center"/>
              <w:rPr>
                <w:b/>
              </w:rPr>
            </w:pPr>
            <w:r w:rsidRPr="00D575DC">
              <w:rPr>
                <w:b/>
              </w:rPr>
              <w:t>Pro</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802" w:type="dxa"/>
            <w:tcBorders>
              <w:top w:val="single" w:sz="4" w:space="0" w:color="auto"/>
            </w:tcBorders>
            <w:shd w:val="clear" w:color="auto" w:fill="00B0F0"/>
          </w:tcPr>
          <w:p w:rsidR="00742CFA" w:rsidRPr="00D575DC" w:rsidRDefault="00742CFA" w:rsidP="00F903B1">
            <w:pPr>
              <w:pStyle w:val="TCTableBody"/>
              <w:jc w:val="center"/>
              <w:rPr>
                <w:b/>
              </w:rPr>
            </w:pPr>
            <w:r w:rsidRPr="00D575DC">
              <w:rPr>
                <w:b/>
              </w:rPr>
              <w:t>Lys</w:t>
            </w:r>
            <w:r w:rsidR="00D72AF9">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00D72AF9">
              <w:rPr>
                <w:b/>
              </w:rPr>
              <w:fldChar w:fldCharType="separate"/>
            </w:r>
            <w:r w:rsidR="00F903B1" w:rsidRPr="00F903B1">
              <w:rPr>
                <w:noProof/>
                <w:vertAlign w:val="superscript"/>
              </w:rPr>
              <w:t>38</w:t>
            </w:r>
            <w:r w:rsidR="00D72AF9">
              <w:rPr>
                <w:b/>
              </w:rPr>
              <w:fldChar w:fldCharType="end"/>
            </w:r>
          </w:p>
        </w:tc>
        <w:tc>
          <w:tcPr>
            <w:tcW w:w="827" w:type="dxa"/>
            <w:tcBorders>
              <w:top w:val="single" w:sz="4" w:space="0" w:color="auto"/>
            </w:tcBorders>
            <w:shd w:val="clear" w:color="auto" w:fill="FF0000"/>
          </w:tcPr>
          <w:p w:rsidR="00742CFA" w:rsidRPr="00D575DC" w:rsidRDefault="00742CFA" w:rsidP="00F903B1">
            <w:pPr>
              <w:pStyle w:val="TCTableBody"/>
              <w:jc w:val="center"/>
              <w:rPr>
                <w:b/>
              </w:rPr>
            </w:pPr>
            <w:r w:rsidRPr="00D575DC">
              <w:rPr>
                <w:b/>
              </w:rPr>
              <w:t>Asp</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827" w:type="dxa"/>
            <w:tcBorders>
              <w:top w:val="single" w:sz="4" w:space="0" w:color="auto"/>
            </w:tcBorders>
            <w:shd w:val="clear" w:color="auto" w:fill="0066FF"/>
          </w:tcPr>
          <w:p w:rsidR="00742CFA" w:rsidRPr="00D575DC" w:rsidRDefault="00742CFA" w:rsidP="00F903B1">
            <w:pPr>
              <w:pStyle w:val="TCTableBody"/>
              <w:jc w:val="center"/>
              <w:rPr>
                <w:b/>
              </w:rPr>
            </w:pPr>
            <w:r w:rsidRPr="00D575DC">
              <w:rPr>
                <w:b/>
              </w:rPr>
              <w:t>Leu</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814" w:type="dxa"/>
            <w:tcBorders>
              <w:top w:val="single" w:sz="4" w:space="0" w:color="auto"/>
            </w:tcBorders>
            <w:shd w:val="clear" w:color="auto" w:fill="006666"/>
          </w:tcPr>
          <w:p w:rsidR="00742CFA" w:rsidRPr="00D575DC" w:rsidRDefault="00742CFA" w:rsidP="00F903B1">
            <w:pPr>
              <w:pStyle w:val="TCTableBody"/>
              <w:jc w:val="center"/>
              <w:rPr>
                <w:b/>
              </w:rPr>
            </w:pPr>
            <w:r w:rsidRPr="00D575DC">
              <w:rPr>
                <w:b/>
              </w:rPr>
              <w:t>Phe</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789" w:type="dxa"/>
            <w:tcBorders>
              <w:top w:val="single" w:sz="4" w:space="0" w:color="auto"/>
            </w:tcBorders>
            <w:shd w:val="clear" w:color="auto" w:fill="FF66FF"/>
          </w:tcPr>
          <w:p w:rsidR="00742CFA" w:rsidRPr="00D575DC" w:rsidRDefault="00742CFA" w:rsidP="00F903B1">
            <w:pPr>
              <w:pStyle w:val="TCTableBody"/>
              <w:jc w:val="center"/>
              <w:rPr>
                <w:b/>
              </w:rPr>
            </w:pPr>
            <w:r w:rsidRPr="00D575DC">
              <w:rPr>
                <w:b/>
              </w:rPr>
              <w:t>Val</w:t>
            </w:r>
            <w:r w:rsidRPr="00D575DC">
              <w:rPr>
                <w:b/>
              </w:rPr>
              <w:fldChar w:fldCharType="begin" w:fldLock="1"/>
            </w:r>
            <w:r w:rsidR="00773999">
              <w:rPr>
                <w:b/>
              </w:rPr>
              <w:instrText>ADDIN CSL_CITATION {"citationItems":[{"id":"ITEM-1","itemData":{"DOI":"10.1002/bip.1978.360170421","ISSN":"10970282","author":[{"dropping-particle":"","family":"J. B. Dalton","given":"C. L. A. Schmidt","non-dropping-particle":"","parse-names":false,"suffix":""}],"container-title":"J. Biol. Chem.","id":"ITEM-1","issued":{"date-parts":[["1935"]]},"page":"241-248","title":"Solubilities of amino acids","type":"article-journal","volume":"109"},"uris":["http://www.mendeley.com/documents/?uuid=09177ebf-3351-4fd0-8abb-ae013f802402"]}],"mendeley":{"formattedCitation":"&lt;sup&gt;39&lt;/sup&gt;","plainTextFormattedCitation":"39","previouslyFormattedCitation":"&lt;sup&gt;39&lt;/sup&gt;"},"properties":{"noteIndex":0},"schema":"https://github.com/citation-style-language/schema/raw/master/csl-citation.json"}</w:instrText>
            </w:r>
            <w:r w:rsidRPr="00D575DC">
              <w:rPr>
                <w:b/>
              </w:rPr>
              <w:fldChar w:fldCharType="separate"/>
            </w:r>
            <w:r w:rsidR="00F903B1" w:rsidRPr="00F903B1">
              <w:rPr>
                <w:noProof/>
                <w:vertAlign w:val="superscript"/>
              </w:rPr>
              <w:t>39</w:t>
            </w:r>
            <w:r w:rsidRPr="00D575DC">
              <w:rPr>
                <w:b/>
              </w:rPr>
              <w:fldChar w:fldCharType="end"/>
            </w:r>
          </w:p>
        </w:tc>
        <w:tc>
          <w:tcPr>
            <w:tcW w:w="814" w:type="dxa"/>
            <w:tcBorders>
              <w:top w:val="single" w:sz="4" w:space="0" w:color="auto"/>
            </w:tcBorders>
            <w:shd w:val="clear" w:color="auto" w:fill="6699FF"/>
          </w:tcPr>
          <w:p w:rsidR="00742CFA" w:rsidRPr="00D575DC" w:rsidRDefault="00742CFA" w:rsidP="00F903B1">
            <w:pPr>
              <w:pStyle w:val="TCTableBody"/>
              <w:jc w:val="center"/>
              <w:rPr>
                <w:b/>
              </w:rPr>
            </w:pPr>
            <w:r w:rsidRPr="00D575DC">
              <w:rPr>
                <w:b/>
              </w:rPr>
              <w:t>Glu</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827" w:type="dxa"/>
            <w:tcBorders>
              <w:top w:val="single" w:sz="4" w:space="0" w:color="auto"/>
            </w:tcBorders>
            <w:shd w:val="clear" w:color="auto" w:fill="00FFCC"/>
          </w:tcPr>
          <w:p w:rsidR="00742CFA" w:rsidRPr="00D575DC" w:rsidRDefault="00742CFA" w:rsidP="00F903B1">
            <w:pPr>
              <w:pStyle w:val="TCTableBody"/>
              <w:jc w:val="center"/>
              <w:rPr>
                <w:b/>
              </w:rPr>
            </w:pPr>
            <w:r w:rsidRPr="00D575DC">
              <w:rPr>
                <w:b/>
              </w:rPr>
              <w:t>Thr</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814" w:type="dxa"/>
            <w:tcBorders>
              <w:top w:val="single" w:sz="4" w:space="0" w:color="auto"/>
            </w:tcBorders>
            <w:shd w:val="clear" w:color="auto" w:fill="FFCCCC"/>
          </w:tcPr>
          <w:p w:rsidR="00742CFA" w:rsidRPr="00D575DC" w:rsidRDefault="00742CFA" w:rsidP="00F903B1">
            <w:pPr>
              <w:pStyle w:val="TCTableBody"/>
              <w:jc w:val="center"/>
              <w:rPr>
                <w:b/>
              </w:rPr>
            </w:pPr>
            <w:r w:rsidRPr="00D575DC">
              <w:rPr>
                <w:b/>
              </w:rPr>
              <w:t>Gln</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777" w:type="dxa"/>
            <w:tcBorders>
              <w:top w:val="single" w:sz="4" w:space="0" w:color="auto"/>
            </w:tcBorders>
            <w:shd w:val="clear" w:color="auto" w:fill="FF9933"/>
          </w:tcPr>
          <w:p w:rsidR="00742CFA" w:rsidRPr="00D575DC" w:rsidRDefault="00742CFA" w:rsidP="00F903B1">
            <w:pPr>
              <w:pStyle w:val="TCTableBody"/>
              <w:jc w:val="center"/>
              <w:rPr>
                <w:b/>
              </w:rPr>
            </w:pPr>
            <w:r w:rsidRPr="00D575DC">
              <w:rPr>
                <w:b/>
              </w:rPr>
              <w:t>Ser</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827" w:type="dxa"/>
            <w:tcBorders>
              <w:top w:val="single" w:sz="4" w:space="0" w:color="auto"/>
            </w:tcBorders>
            <w:shd w:val="clear" w:color="auto" w:fill="AEAAAA"/>
          </w:tcPr>
          <w:p w:rsidR="00742CFA" w:rsidRPr="00D575DC" w:rsidRDefault="00742CFA" w:rsidP="00F903B1">
            <w:pPr>
              <w:pStyle w:val="TCTableBody"/>
              <w:jc w:val="center"/>
              <w:rPr>
                <w:b/>
              </w:rPr>
            </w:pPr>
            <w:r w:rsidRPr="00D575DC">
              <w:rPr>
                <w:b/>
              </w:rPr>
              <w:t>Trp</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738" w:type="dxa"/>
            <w:tcBorders>
              <w:top w:val="single" w:sz="4" w:space="0" w:color="auto"/>
            </w:tcBorders>
            <w:shd w:val="clear" w:color="auto" w:fill="CC6600"/>
          </w:tcPr>
          <w:p w:rsidR="00742CFA" w:rsidRPr="00D575DC" w:rsidRDefault="00742CFA" w:rsidP="00F903B1">
            <w:pPr>
              <w:pStyle w:val="TCTableBody"/>
              <w:jc w:val="center"/>
              <w:rPr>
                <w:b/>
              </w:rPr>
            </w:pPr>
            <w:r w:rsidRPr="00D575DC">
              <w:rPr>
                <w:b/>
              </w:rPr>
              <w:t>Ile</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827" w:type="dxa"/>
            <w:tcBorders>
              <w:top w:val="single" w:sz="4" w:space="0" w:color="auto"/>
            </w:tcBorders>
            <w:shd w:val="clear" w:color="auto" w:fill="99FF33"/>
          </w:tcPr>
          <w:p w:rsidR="00742CFA" w:rsidRPr="00D575DC" w:rsidRDefault="00742CFA" w:rsidP="00F903B1">
            <w:pPr>
              <w:pStyle w:val="TCTableBody"/>
              <w:jc w:val="center"/>
              <w:rPr>
                <w:b/>
              </w:rPr>
            </w:pPr>
            <w:r w:rsidRPr="00D575DC">
              <w:rPr>
                <w:b/>
              </w:rPr>
              <w:t>Asn</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847" w:type="dxa"/>
            <w:tcBorders>
              <w:top w:val="single" w:sz="4" w:space="0" w:color="auto"/>
            </w:tcBorders>
            <w:shd w:val="clear" w:color="auto" w:fill="CC0066"/>
          </w:tcPr>
          <w:p w:rsidR="00742CFA" w:rsidRPr="00D575DC" w:rsidRDefault="00742CFA" w:rsidP="00F903B1">
            <w:pPr>
              <w:pStyle w:val="TCTableBody"/>
              <w:jc w:val="center"/>
              <w:rPr>
                <w:b/>
              </w:rPr>
            </w:pPr>
            <w:r w:rsidRPr="00D575DC">
              <w:rPr>
                <w:b/>
              </w:rPr>
              <w:t>Arg</w:t>
            </w:r>
            <w:r w:rsidRPr="00D575DC">
              <w:rPr>
                <w:b/>
              </w:rPr>
              <w:fldChar w:fldCharType="begin" w:fldLock="1"/>
            </w:r>
            <w:r w:rsidR="00773999">
              <w:rPr>
                <w:b/>
              </w:rPr>
              <w:instrText>ADDIN CSL_CITATION {"citationItems":[{"id":"ITEM-1","itemData":{"DOI":"10.1080/00021369.1966.10858601","ISBN":"0002-1369","ISSN":"00021369","abstract":"The solbilities of L-basic amino acids in the type of free, monohydro-chloride and dihydrochloride in water were determined, and the results were formulated as follows. L-Arginine: logS=0.9770+0.01345t (tis from 0°-70°C) L-Histidine: logS=0.3627+0.00905t (tis from 0°-70°C) L-Arginine monohydrochloride: log S= 1. 6532+0. 0130lt (t is from 0° - 70°C) L-Lysine monohydrochloride dihydrate: log S= 1.6990+0. 01294t (t is from 0° -55°C) L-Lysine monohydrochloride monohydrate: logS= 1. 7404+0.01256t (tis from 55° - 70°C) L-Lysine dihydrochloride: log S=2. 2138+0. 00409t (t is from 0° - 70°C) L-Histidine dihydrochl9ride: log S= 1. 9085+0. 00265t (t is from 0° - 70°C) Three component systems (basic amino acid, hydrochloric acid, water) were studied and the solubilities in mixed solution system of alcohol-water were also investigated.","author":[{"dropping-particle":"","family":"Hayashi","given":"Koichi","non-dropping-particle":"","parse-names":false,"suffix":""},{"dropping-particle":"","family":"Matsuda","given":"Tadaaki","non-dropping-particle":"","parse-names":false,"suffix":""},{"dropping-particle":"","family":"Takeyama","given":"Toru","non-dropping-particle":"","parse-names":false,"suffix":""},{"dropping-particle":"","family":"Hino","given":"Tetsuo","non-dropping-particle":"","parse-names":false,"suffix":""}],"container-title":"Agricultural and Biological Chemistry","id":"ITEM-1","issue":"4","issued":{"date-parts":[["1966"]]},"page":"378-384","title":"Solubilities studies of basic amino acids","type":"article-journal","volume":"30"},"uris":["http://www.mendeley.com/documents/?uuid=0bf4f32e-d996-40a6-b689-f8e97b74ae18"]}],"mendeley":{"formattedCitation":"&lt;sup&gt;40&lt;/sup&gt;","plainTextFormattedCitation":"40","previouslyFormattedCitation":"&lt;sup&gt;40&lt;/sup&gt;"},"properties":{"noteIndex":0},"schema":"https://github.com/citation-style-language/schema/raw/master/csl-citation.json"}</w:instrText>
            </w:r>
            <w:r w:rsidRPr="00D575DC">
              <w:rPr>
                <w:b/>
              </w:rPr>
              <w:fldChar w:fldCharType="separate"/>
            </w:r>
            <w:r w:rsidR="00F903B1" w:rsidRPr="00F903B1">
              <w:rPr>
                <w:noProof/>
                <w:vertAlign w:val="superscript"/>
              </w:rPr>
              <w:t>40</w:t>
            </w:r>
            <w:r w:rsidRPr="00D575DC">
              <w:rPr>
                <w:b/>
              </w:rPr>
              <w:fldChar w:fldCharType="end"/>
            </w:r>
          </w:p>
        </w:tc>
        <w:tc>
          <w:tcPr>
            <w:tcW w:w="849" w:type="dxa"/>
            <w:tcBorders>
              <w:top w:val="single" w:sz="4" w:space="0" w:color="auto"/>
            </w:tcBorders>
            <w:shd w:val="clear" w:color="auto" w:fill="99CCFF"/>
          </w:tcPr>
          <w:p w:rsidR="00742CFA" w:rsidRPr="00D575DC" w:rsidRDefault="00742CFA" w:rsidP="00F903B1">
            <w:pPr>
              <w:pStyle w:val="TCTableBody"/>
              <w:jc w:val="center"/>
              <w:rPr>
                <w:b/>
              </w:rPr>
            </w:pPr>
            <w:r w:rsidRPr="00D575DC">
              <w:rPr>
                <w:b/>
              </w:rPr>
              <w:t>Gly</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c>
          <w:tcPr>
            <w:tcW w:w="789" w:type="dxa"/>
            <w:tcBorders>
              <w:top w:val="single" w:sz="4" w:space="0" w:color="auto"/>
            </w:tcBorders>
            <w:shd w:val="clear" w:color="auto" w:fill="99FF99"/>
          </w:tcPr>
          <w:p w:rsidR="00742CFA" w:rsidRPr="00D575DC" w:rsidRDefault="00742CFA" w:rsidP="00F903B1">
            <w:pPr>
              <w:pStyle w:val="TCTableBody"/>
              <w:jc w:val="center"/>
              <w:rPr>
                <w:b/>
              </w:rPr>
            </w:pPr>
            <w:r w:rsidRPr="00D575DC">
              <w:rPr>
                <w:b/>
              </w:rPr>
              <w:t>Ala</w:t>
            </w:r>
            <w:r w:rsidRPr="00D575DC">
              <w:rPr>
                <w:b/>
              </w:rPr>
              <w:fldChar w:fldCharType="begin" w:fldLock="1"/>
            </w:r>
            <w:r w:rsidR="00773999">
              <w:rPr>
                <w:b/>
              </w:rPr>
              <w:instrText>ADDIN CSL_CITATION {"citationItems":[{"id":"ITEM-1","itemData":{"ISBN":"9781439802465","abstract":"This book contains information obtained from authentic and highly regarded sources. Reasonable efforts have been made to publish reliable data and information, but the author and publisher cannot assume responsibility for the valid- ity of all materials or the consequences of their use. The authors and publishers have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 lized in any form by any electronic, mechanical, or other means, now known or hereafter invented, including photocopy- ing, microfilming, and recording, or in any information storage or retrieval system, without written permission from the publishers.","author":[{"dropping-particle":"","family":"S. H. Yalkowsky, Y. He","given":"P. Jain","non-dropping-particle":"","parse-names":false,"suffix":""}],"edition":"Second","id":"ITEM-1","issued":{"date-parts":[["2010"]]},"number-of-pages":"1-1622","publisher":"CRC Press Taylor &amp; Francis Group","publisher-place":"USA","title":"Handbook of Aqueous solutions data","type":"book"},"uris":["http://www.mendeley.com/documents/?uuid=99ffaee4-5a99-4f5e-ae2c-377670258c04"]}],"mendeley":{"formattedCitation":"&lt;sup&gt;38&lt;/sup&gt;","plainTextFormattedCitation":"38","previouslyFormattedCitation":"&lt;sup&gt;38&lt;/sup&gt;"},"properties":{"noteIndex":0},"schema":"https://github.com/citation-style-language/schema/raw/master/csl-citation.json"}</w:instrText>
            </w:r>
            <w:r w:rsidRPr="00D575DC">
              <w:rPr>
                <w:b/>
              </w:rPr>
              <w:fldChar w:fldCharType="separate"/>
            </w:r>
            <w:r w:rsidR="00F903B1" w:rsidRPr="00F903B1">
              <w:rPr>
                <w:noProof/>
                <w:vertAlign w:val="superscript"/>
              </w:rPr>
              <w:t>38</w:t>
            </w:r>
            <w:r w:rsidRPr="00D575DC">
              <w:rPr>
                <w:b/>
              </w:rPr>
              <w:fldChar w:fldCharType="end"/>
            </w: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rPr>
                <w:i/>
                <w:vertAlign w:val="subscript"/>
              </w:rPr>
            </w:pPr>
            <w:r w:rsidRPr="00D575DC">
              <w:rPr>
                <w:i/>
              </w:rPr>
              <w:t>A</w:t>
            </w:r>
            <w:r w:rsidRPr="00D575DC">
              <w:rPr>
                <w:i/>
                <w:vertAlign w:val="subscript"/>
              </w:rPr>
              <w:t>m</w:t>
            </w:r>
          </w:p>
        </w:tc>
        <w:tc>
          <w:tcPr>
            <w:tcW w:w="794" w:type="dxa"/>
            <w:shd w:val="clear" w:color="auto" w:fill="auto"/>
          </w:tcPr>
          <w:p w:rsidR="00742CFA" w:rsidRPr="00D575DC" w:rsidRDefault="00742CFA" w:rsidP="00742CFA">
            <w:pPr>
              <w:pStyle w:val="TCTableBody"/>
              <w:jc w:val="center"/>
              <w:rPr>
                <w:i/>
              </w:rPr>
            </w:pPr>
            <w:r w:rsidRPr="00D575DC">
              <w:rPr>
                <w:i/>
              </w:rPr>
              <w:t>20.33</w:t>
            </w:r>
          </w:p>
        </w:tc>
        <w:tc>
          <w:tcPr>
            <w:tcW w:w="838" w:type="dxa"/>
            <w:shd w:val="clear" w:color="auto" w:fill="auto"/>
          </w:tcPr>
          <w:p w:rsidR="00742CFA" w:rsidRPr="00D575DC" w:rsidRDefault="00742CFA" w:rsidP="00742CFA">
            <w:pPr>
              <w:pStyle w:val="TCTableBody"/>
              <w:jc w:val="center"/>
              <w:rPr>
                <w:i/>
              </w:rPr>
            </w:pPr>
            <w:r w:rsidRPr="00D575DC">
              <w:rPr>
                <w:i/>
              </w:rPr>
              <w:t>2.76</w:t>
            </w:r>
          </w:p>
        </w:tc>
        <w:tc>
          <w:tcPr>
            <w:tcW w:w="802" w:type="dxa"/>
            <w:shd w:val="clear" w:color="auto" w:fill="auto"/>
          </w:tcPr>
          <w:p w:rsidR="00742CFA" w:rsidRPr="00D575DC" w:rsidRDefault="00742CFA" w:rsidP="00742CFA">
            <w:pPr>
              <w:pStyle w:val="TCTableBody"/>
              <w:jc w:val="center"/>
              <w:rPr>
                <w:i/>
              </w:rPr>
            </w:pPr>
            <w:r w:rsidRPr="00D575DC">
              <w:rPr>
                <w:i/>
              </w:rPr>
              <w:t>1.96</w:t>
            </w:r>
          </w:p>
        </w:tc>
        <w:tc>
          <w:tcPr>
            <w:tcW w:w="802" w:type="dxa"/>
            <w:shd w:val="clear" w:color="auto" w:fill="auto"/>
          </w:tcPr>
          <w:p w:rsidR="00742CFA" w:rsidRPr="00D575DC" w:rsidRDefault="00742CFA" w:rsidP="00742CFA">
            <w:pPr>
              <w:pStyle w:val="TCTableBody"/>
              <w:jc w:val="center"/>
              <w:rPr>
                <w:i/>
              </w:rPr>
            </w:pPr>
            <w:r w:rsidRPr="00D575DC">
              <w:rPr>
                <w:i/>
              </w:rPr>
              <w:t>1.95</w:t>
            </w:r>
          </w:p>
        </w:tc>
        <w:tc>
          <w:tcPr>
            <w:tcW w:w="827" w:type="dxa"/>
            <w:shd w:val="clear" w:color="auto" w:fill="auto"/>
          </w:tcPr>
          <w:p w:rsidR="00742CFA" w:rsidRPr="00D575DC" w:rsidRDefault="00742CFA" w:rsidP="00742CFA">
            <w:pPr>
              <w:pStyle w:val="TCTableBody"/>
              <w:jc w:val="center"/>
              <w:rPr>
                <w:i/>
              </w:rPr>
            </w:pPr>
            <w:r w:rsidRPr="00D575DC">
              <w:rPr>
                <w:i/>
              </w:rPr>
              <w:t>1.79</w:t>
            </w:r>
          </w:p>
        </w:tc>
        <w:tc>
          <w:tcPr>
            <w:tcW w:w="827" w:type="dxa"/>
            <w:shd w:val="clear" w:color="auto" w:fill="auto"/>
          </w:tcPr>
          <w:p w:rsidR="00742CFA" w:rsidRPr="00D575DC" w:rsidRDefault="00742CFA" w:rsidP="00742CFA">
            <w:pPr>
              <w:pStyle w:val="TCTableBody"/>
              <w:jc w:val="center"/>
              <w:rPr>
                <w:i/>
              </w:rPr>
            </w:pPr>
            <w:r w:rsidRPr="00D575DC">
              <w:rPr>
                <w:i/>
              </w:rPr>
              <w:t>1.61</w:t>
            </w:r>
          </w:p>
        </w:tc>
        <w:tc>
          <w:tcPr>
            <w:tcW w:w="814" w:type="dxa"/>
            <w:shd w:val="clear" w:color="auto" w:fill="auto"/>
          </w:tcPr>
          <w:p w:rsidR="00742CFA" w:rsidRPr="00D575DC" w:rsidRDefault="00742CFA" w:rsidP="00742CFA">
            <w:pPr>
              <w:pStyle w:val="TCTableBody"/>
              <w:jc w:val="center"/>
              <w:rPr>
                <w:i/>
              </w:rPr>
            </w:pPr>
            <w:r w:rsidRPr="00D575DC">
              <w:rPr>
                <w:i/>
              </w:rPr>
              <w:t>1.46</w:t>
            </w:r>
          </w:p>
        </w:tc>
        <w:tc>
          <w:tcPr>
            <w:tcW w:w="789" w:type="dxa"/>
            <w:shd w:val="clear" w:color="auto" w:fill="auto"/>
          </w:tcPr>
          <w:p w:rsidR="00742CFA" w:rsidRPr="00D575DC" w:rsidRDefault="00742CFA" w:rsidP="00742CFA">
            <w:pPr>
              <w:pStyle w:val="TCTableBody"/>
              <w:jc w:val="center"/>
              <w:rPr>
                <w:i/>
              </w:rPr>
            </w:pPr>
            <w:r w:rsidRPr="00D575DC">
              <w:rPr>
                <w:i/>
              </w:rPr>
              <w:t>1.04</w:t>
            </w:r>
          </w:p>
        </w:tc>
        <w:tc>
          <w:tcPr>
            <w:tcW w:w="814" w:type="dxa"/>
            <w:shd w:val="clear" w:color="auto" w:fill="auto"/>
          </w:tcPr>
          <w:p w:rsidR="00742CFA" w:rsidRPr="00D575DC" w:rsidRDefault="00742CFA" w:rsidP="00742CFA">
            <w:pPr>
              <w:pStyle w:val="TCTableBody"/>
              <w:jc w:val="center"/>
              <w:rPr>
                <w:i/>
              </w:rPr>
            </w:pPr>
            <w:r w:rsidRPr="00D575DC">
              <w:rPr>
                <w:i/>
              </w:rPr>
              <w:t>0.83</w:t>
            </w:r>
          </w:p>
        </w:tc>
        <w:tc>
          <w:tcPr>
            <w:tcW w:w="827" w:type="dxa"/>
            <w:shd w:val="clear" w:color="auto" w:fill="auto"/>
          </w:tcPr>
          <w:p w:rsidR="00742CFA" w:rsidRPr="00D575DC" w:rsidRDefault="00742CFA" w:rsidP="00742CFA">
            <w:pPr>
              <w:pStyle w:val="TCTableBody"/>
              <w:jc w:val="center"/>
              <w:rPr>
                <w:i/>
              </w:rPr>
            </w:pPr>
            <w:r w:rsidRPr="00D575DC">
              <w:rPr>
                <w:i/>
              </w:rPr>
              <w:t>0.74</w:t>
            </w:r>
          </w:p>
        </w:tc>
        <w:tc>
          <w:tcPr>
            <w:tcW w:w="814" w:type="dxa"/>
            <w:shd w:val="clear" w:color="auto" w:fill="auto"/>
          </w:tcPr>
          <w:p w:rsidR="00742CFA" w:rsidRPr="00D575DC" w:rsidRDefault="00742CFA" w:rsidP="00742CFA">
            <w:pPr>
              <w:pStyle w:val="TCTableBody"/>
              <w:jc w:val="center"/>
              <w:rPr>
                <w:i/>
              </w:rPr>
            </w:pPr>
            <w:r w:rsidRPr="00D575DC">
              <w:rPr>
                <w:i/>
              </w:rPr>
              <w:t>0.67</w:t>
            </w:r>
          </w:p>
        </w:tc>
        <w:tc>
          <w:tcPr>
            <w:tcW w:w="777" w:type="dxa"/>
            <w:shd w:val="clear" w:color="auto" w:fill="auto"/>
          </w:tcPr>
          <w:p w:rsidR="00742CFA" w:rsidRPr="00D575DC" w:rsidRDefault="00742CFA" w:rsidP="00742CFA">
            <w:pPr>
              <w:pStyle w:val="TCTableBody"/>
              <w:jc w:val="center"/>
              <w:rPr>
                <w:i/>
              </w:rPr>
            </w:pPr>
            <w:r w:rsidRPr="00D575DC">
              <w:rPr>
                <w:i/>
              </w:rPr>
              <w:t>0.62</w:t>
            </w:r>
          </w:p>
        </w:tc>
        <w:tc>
          <w:tcPr>
            <w:tcW w:w="827" w:type="dxa"/>
          </w:tcPr>
          <w:p w:rsidR="00742CFA" w:rsidRPr="00D575DC" w:rsidRDefault="00742CFA" w:rsidP="00742CFA">
            <w:pPr>
              <w:pStyle w:val="TCTableBody"/>
              <w:jc w:val="center"/>
              <w:rPr>
                <w:i/>
              </w:rPr>
            </w:pPr>
            <w:r w:rsidRPr="00D575DC">
              <w:rPr>
                <w:i/>
              </w:rPr>
              <w:t>0.58</w:t>
            </w:r>
          </w:p>
        </w:tc>
        <w:tc>
          <w:tcPr>
            <w:tcW w:w="738" w:type="dxa"/>
            <w:shd w:val="clear" w:color="auto" w:fill="auto"/>
          </w:tcPr>
          <w:p w:rsidR="00742CFA" w:rsidRPr="00D575DC" w:rsidRDefault="00742CFA" w:rsidP="00742CFA">
            <w:pPr>
              <w:pStyle w:val="TCTableBody"/>
              <w:jc w:val="center"/>
              <w:rPr>
                <w:i/>
              </w:rPr>
            </w:pPr>
            <w:r w:rsidRPr="00D575DC">
              <w:rPr>
                <w:i/>
              </w:rPr>
              <w:t>0.56</w:t>
            </w:r>
          </w:p>
        </w:tc>
        <w:tc>
          <w:tcPr>
            <w:tcW w:w="827" w:type="dxa"/>
            <w:shd w:val="clear" w:color="auto" w:fill="auto"/>
          </w:tcPr>
          <w:p w:rsidR="00742CFA" w:rsidRPr="00D575DC" w:rsidRDefault="00742CFA" w:rsidP="00742CFA">
            <w:pPr>
              <w:pStyle w:val="TCTableBody"/>
              <w:jc w:val="center"/>
              <w:rPr>
                <w:i/>
              </w:rPr>
            </w:pPr>
            <w:r w:rsidRPr="00D575DC">
              <w:rPr>
                <w:i/>
              </w:rPr>
              <w:t>0.55</w:t>
            </w:r>
          </w:p>
        </w:tc>
        <w:tc>
          <w:tcPr>
            <w:tcW w:w="847" w:type="dxa"/>
            <w:shd w:val="clear" w:color="auto" w:fill="auto"/>
          </w:tcPr>
          <w:p w:rsidR="00742CFA" w:rsidRPr="00D575DC" w:rsidRDefault="00742CFA" w:rsidP="00742CFA">
            <w:pPr>
              <w:pStyle w:val="TCTableBody"/>
              <w:jc w:val="center"/>
              <w:rPr>
                <w:i/>
              </w:rPr>
            </w:pPr>
            <w:r w:rsidRPr="00D575DC">
              <w:rPr>
                <w:i/>
              </w:rPr>
              <w:t>0.52</w:t>
            </w:r>
          </w:p>
        </w:tc>
        <w:tc>
          <w:tcPr>
            <w:tcW w:w="849" w:type="dxa"/>
            <w:shd w:val="clear" w:color="auto" w:fill="auto"/>
          </w:tcPr>
          <w:p w:rsidR="00742CFA" w:rsidRPr="00D575DC" w:rsidRDefault="00742CFA" w:rsidP="00742CFA">
            <w:pPr>
              <w:pStyle w:val="TCTableBody"/>
              <w:jc w:val="center"/>
              <w:rPr>
                <w:i/>
              </w:rPr>
            </w:pPr>
            <w:r w:rsidRPr="00D575DC">
              <w:rPr>
                <w:i/>
              </w:rPr>
              <w:t>0.45</w:t>
            </w:r>
          </w:p>
        </w:tc>
        <w:tc>
          <w:tcPr>
            <w:tcW w:w="789" w:type="dxa"/>
            <w:shd w:val="clear" w:color="auto" w:fill="auto"/>
          </w:tcPr>
          <w:p w:rsidR="00742CFA" w:rsidRPr="00D575DC" w:rsidRDefault="00742CFA" w:rsidP="00742CFA">
            <w:pPr>
              <w:pStyle w:val="TCTableBody"/>
              <w:jc w:val="center"/>
              <w:rPr>
                <w:i/>
              </w:rPr>
            </w:pPr>
            <w:r w:rsidRPr="00D575DC">
              <w:rPr>
                <w:i/>
              </w:rPr>
              <w:t>0.41</w:t>
            </w:r>
          </w:p>
        </w:tc>
      </w:tr>
      <w:tr w:rsidR="00742CFA" w:rsidRPr="00D575DC" w:rsidTr="00742CFA">
        <w:trPr>
          <w:gridAfter w:val="1"/>
          <w:wAfter w:w="7" w:type="dxa"/>
          <w:trHeight w:val="237"/>
          <w:jc w:val="center"/>
        </w:trPr>
        <w:tc>
          <w:tcPr>
            <w:tcW w:w="904" w:type="dxa"/>
            <w:shd w:val="clear" w:color="auto" w:fill="auto"/>
          </w:tcPr>
          <w:p w:rsidR="00742CFA" w:rsidRPr="00D575DC" w:rsidRDefault="00742CFA" w:rsidP="00742CFA">
            <w:pPr>
              <w:pStyle w:val="TCTableBody"/>
              <w:jc w:val="center"/>
              <w:rPr>
                <w:i/>
              </w:rPr>
            </w:pPr>
            <w:proofErr w:type="spellStart"/>
            <w:r w:rsidRPr="00D575DC">
              <w:rPr>
                <w:i/>
              </w:rPr>
              <w:t>soly</w:t>
            </w:r>
            <w:proofErr w:type="spellEnd"/>
          </w:p>
        </w:tc>
        <w:tc>
          <w:tcPr>
            <w:tcW w:w="794" w:type="dxa"/>
            <w:shd w:val="clear" w:color="auto" w:fill="auto"/>
          </w:tcPr>
          <w:p w:rsidR="00742CFA" w:rsidRPr="00D575DC" w:rsidRDefault="00742CFA" w:rsidP="00742CFA">
            <w:pPr>
              <w:pStyle w:val="TCTableBody"/>
              <w:jc w:val="center"/>
              <w:rPr>
                <w:i/>
              </w:rPr>
            </w:pPr>
            <w:r w:rsidRPr="00D575DC">
              <w:rPr>
                <w:i/>
              </w:rPr>
              <w:t>194</w:t>
            </w:r>
          </w:p>
        </w:tc>
        <w:tc>
          <w:tcPr>
            <w:tcW w:w="838" w:type="dxa"/>
            <w:shd w:val="clear" w:color="auto" w:fill="auto"/>
          </w:tcPr>
          <w:p w:rsidR="00742CFA" w:rsidRPr="00D575DC" w:rsidRDefault="00742CFA" w:rsidP="00742CFA">
            <w:pPr>
              <w:pStyle w:val="TCTableBody"/>
              <w:jc w:val="center"/>
              <w:rPr>
                <w:i/>
              </w:rPr>
            </w:pPr>
            <w:r w:rsidRPr="00D575DC">
              <w:rPr>
                <w:i/>
              </w:rPr>
              <w:t>122</w:t>
            </w:r>
          </w:p>
        </w:tc>
        <w:tc>
          <w:tcPr>
            <w:tcW w:w="802" w:type="dxa"/>
            <w:shd w:val="clear" w:color="auto" w:fill="auto"/>
          </w:tcPr>
          <w:p w:rsidR="00742CFA" w:rsidRPr="00D575DC" w:rsidRDefault="00742CFA" w:rsidP="00742CFA">
            <w:pPr>
              <w:pStyle w:val="TCTableBody"/>
              <w:jc w:val="center"/>
              <w:rPr>
                <w:i/>
              </w:rPr>
            </w:pPr>
            <w:r w:rsidRPr="00D575DC">
              <w:rPr>
                <w:i/>
              </w:rPr>
              <w:t>7712</w:t>
            </w:r>
          </w:p>
        </w:tc>
        <w:tc>
          <w:tcPr>
            <w:tcW w:w="802" w:type="dxa"/>
            <w:shd w:val="clear" w:color="auto" w:fill="auto"/>
          </w:tcPr>
          <w:p w:rsidR="00742CFA" w:rsidRPr="00D575DC" w:rsidRDefault="00742CFA" w:rsidP="00742CFA">
            <w:pPr>
              <w:pStyle w:val="TCTableBody"/>
              <w:jc w:val="center"/>
              <w:rPr>
                <w:i/>
              </w:rPr>
            </w:pPr>
            <w:r w:rsidRPr="00D575DC">
              <w:rPr>
                <w:i/>
              </w:rPr>
              <w:t>3001</w:t>
            </w:r>
          </w:p>
        </w:tc>
        <w:tc>
          <w:tcPr>
            <w:tcW w:w="827" w:type="dxa"/>
            <w:shd w:val="clear" w:color="auto" w:fill="auto"/>
          </w:tcPr>
          <w:p w:rsidR="00742CFA" w:rsidRPr="00D575DC" w:rsidRDefault="00742CFA" w:rsidP="00742CFA">
            <w:pPr>
              <w:pStyle w:val="TCTableBody"/>
              <w:jc w:val="center"/>
              <w:rPr>
                <w:i/>
              </w:rPr>
            </w:pPr>
            <w:r w:rsidRPr="00D575DC">
              <w:rPr>
                <w:i/>
              </w:rPr>
              <w:t>17</w:t>
            </w:r>
          </w:p>
        </w:tc>
        <w:tc>
          <w:tcPr>
            <w:tcW w:w="827" w:type="dxa"/>
            <w:shd w:val="clear" w:color="auto" w:fill="auto"/>
          </w:tcPr>
          <w:p w:rsidR="00742CFA" w:rsidRPr="00D575DC" w:rsidRDefault="00742CFA" w:rsidP="00742CFA">
            <w:pPr>
              <w:pStyle w:val="TCTableBody"/>
              <w:jc w:val="center"/>
              <w:rPr>
                <w:i/>
              </w:rPr>
            </w:pPr>
            <w:r w:rsidRPr="00D575DC">
              <w:rPr>
                <w:i/>
              </w:rPr>
              <w:t>169</w:t>
            </w:r>
          </w:p>
        </w:tc>
        <w:tc>
          <w:tcPr>
            <w:tcW w:w="814" w:type="dxa"/>
            <w:shd w:val="clear" w:color="auto" w:fill="auto"/>
          </w:tcPr>
          <w:p w:rsidR="00742CFA" w:rsidRPr="00D575DC" w:rsidRDefault="00742CFA" w:rsidP="00742CFA">
            <w:pPr>
              <w:pStyle w:val="TCTableBody"/>
              <w:jc w:val="center"/>
              <w:rPr>
                <w:i/>
              </w:rPr>
            </w:pPr>
            <w:r w:rsidRPr="00D575DC">
              <w:rPr>
                <w:i/>
              </w:rPr>
              <w:t>117</w:t>
            </w:r>
          </w:p>
        </w:tc>
        <w:tc>
          <w:tcPr>
            <w:tcW w:w="789" w:type="dxa"/>
            <w:shd w:val="clear" w:color="auto" w:fill="auto"/>
          </w:tcPr>
          <w:p w:rsidR="00742CFA" w:rsidRPr="00D575DC" w:rsidRDefault="00742CFA" w:rsidP="00742CFA">
            <w:pPr>
              <w:pStyle w:val="TCTableBody"/>
              <w:jc w:val="center"/>
              <w:rPr>
                <w:i/>
              </w:rPr>
            </w:pPr>
            <w:r w:rsidRPr="00D575DC">
              <w:rPr>
                <w:i/>
              </w:rPr>
              <w:t>712</w:t>
            </w:r>
          </w:p>
        </w:tc>
        <w:tc>
          <w:tcPr>
            <w:tcW w:w="814" w:type="dxa"/>
            <w:shd w:val="clear" w:color="auto" w:fill="auto"/>
          </w:tcPr>
          <w:p w:rsidR="00742CFA" w:rsidRPr="00D575DC" w:rsidRDefault="00742CFA" w:rsidP="00742CFA">
            <w:pPr>
              <w:pStyle w:val="TCTableBody"/>
              <w:jc w:val="center"/>
              <w:rPr>
                <w:i/>
              </w:rPr>
            </w:pPr>
            <w:r w:rsidRPr="00D575DC">
              <w:rPr>
                <w:i/>
              </w:rPr>
              <w:t>23</w:t>
            </w:r>
          </w:p>
        </w:tc>
        <w:tc>
          <w:tcPr>
            <w:tcW w:w="827" w:type="dxa"/>
            <w:shd w:val="clear" w:color="auto" w:fill="auto"/>
          </w:tcPr>
          <w:p w:rsidR="00742CFA" w:rsidRPr="00D575DC" w:rsidRDefault="00742CFA" w:rsidP="00742CFA">
            <w:pPr>
              <w:pStyle w:val="TCTableBody"/>
              <w:jc w:val="center"/>
              <w:rPr>
                <w:i/>
              </w:rPr>
            </w:pPr>
            <w:r w:rsidRPr="00D575DC">
              <w:rPr>
                <w:i/>
              </w:rPr>
              <w:t>445</w:t>
            </w:r>
          </w:p>
        </w:tc>
        <w:tc>
          <w:tcPr>
            <w:tcW w:w="814" w:type="dxa"/>
            <w:shd w:val="clear" w:color="auto" w:fill="auto"/>
          </w:tcPr>
          <w:p w:rsidR="00742CFA" w:rsidRPr="00D575DC" w:rsidRDefault="00742CFA" w:rsidP="00742CFA">
            <w:pPr>
              <w:pStyle w:val="TCTableBody"/>
              <w:jc w:val="center"/>
              <w:rPr>
                <w:i/>
              </w:rPr>
            </w:pPr>
            <w:r w:rsidRPr="00D575DC">
              <w:rPr>
                <w:i/>
              </w:rPr>
              <w:t>118</w:t>
            </w:r>
          </w:p>
        </w:tc>
        <w:tc>
          <w:tcPr>
            <w:tcW w:w="777" w:type="dxa"/>
            <w:shd w:val="clear" w:color="auto" w:fill="auto"/>
          </w:tcPr>
          <w:p w:rsidR="00742CFA" w:rsidRPr="00D575DC" w:rsidRDefault="00742CFA" w:rsidP="00742CFA">
            <w:pPr>
              <w:pStyle w:val="TCTableBody"/>
              <w:jc w:val="center"/>
              <w:rPr>
                <w:i/>
              </w:rPr>
            </w:pPr>
            <w:r w:rsidRPr="00D575DC">
              <w:rPr>
                <w:i/>
              </w:rPr>
              <w:t>2570</w:t>
            </w:r>
          </w:p>
        </w:tc>
        <w:tc>
          <w:tcPr>
            <w:tcW w:w="827" w:type="dxa"/>
          </w:tcPr>
          <w:p w:rsidR="00742CFA" w:rsidRPr="00D575DC" w:rsidRDefault="00742CFA" w:rsidP="00742CFA">
            <w:pPr>
              <w:pStyle w:val="TCTableBody"/>
              <w:jc w:val="center"/>
              <w:rPr>
                <w:i/>
              </w:rPr>
            </w:pPr>
            <w:r w:rsidRPr="00D575DC">
              <w:rPr>
                <w:i/>
              </w:rPr>
              <w:t>40</w:t>
            </w:r>
          </w:p>
        </w:tc>
        <w:tc>
          <w:tcPr>
            <w:tcW w:w="738" w:type="dxa"/>
            <w:shd w:val="clear" w:color="auto" w:fill="auto"/>
          </w:tcPr>
          <w:p w:rsidR="00742CFA" w:rsidRPr="00D575DC" w:rsidRDefault="00742CFA" w:rsidP="00742CFA">
            <w:pPr>
              <w:pStyle w:val="TCTableBody"/>
              <w:jc w:val="center"/>
              <w:rPr>
                <w:i/>
              </w:rPr>
            </w:pPr>
            <w:r w:rsidRPr="00D575DC">
              <w:rPr>
                <w:i/>
              </w:rPr>
              <w:t>230</w:t>
            </w:r>
          </w:p>
        </w:tc>
        <w:tc>
          <w:tcPr>
            <w:tcW w:w="827" w:type="dxa"/>
            <w:shd w:val="clear" w:color="auto" w:fill="auto"/>
          </w:tcPr>
          <w:p w:rsidR="00742CFA" w:rsidRPr="00D575DC" w:rsidRDefault="00742CFA" w:rsidP="00742CFA">
            <w:pPr>
              <w:pStyle w:val="TCTableBody"/>
              <w:jc w:val="center"/>
              <w:rPr>
                <w:i/>
              </w:rPr>
            </w:pPr>
            <w:r w:rsidRPr="00D575DC">
              <w:rPr>
                <w:i/>
              </w:rPr>
              <w:t>65</w:t>
            </w:r>
          </w:p>
        </w:tc>
        <w:tc>
          <w:tcPr>
            <w:tcW w:w="847" w:type="dxa"/>
            <w:shd w:val="clear" w:color="auto" w:fill="auto"/>
          </w:tcPr>
          <w:p w:rsidR="00742CFA" w:rsidRPr="00D575DC" w:rsidRDefault="00742CFA" w:rsidP="00742CFA">
            <w:pPr>
              <w:pStyle w:val="TCTableBody"/>
              <w:jc w:val="center"/>
              <w:rPr>
                <w:i/>
              </w:rPr>
            </w:pPr>
            <w:r w:rsidRPr="00D575DC">
              <w:rPr>
                <w:i/>
              </w:rPr>
              <w:t>545</w:t>
            </w:r>
          </w:p>
        </w:tc>
        <w:tc>
          <w:tcPr>
            <w:tcW w:w="849" w:type="dxa"/>
            <w:shd w:val="clear" w:color="auto" w:fill="auto"/>
          </w:tcPr>
          <w:p w:rsidR="00742CFA" w:rsidRPr="00D575DC" w:rsidRDefault="00742CFA" w:rsidP="00742CFA">
            <w:pPr>
              <w:pStyle w:val="TCTableBody"/>
              <w:jc w:val="center"/>
              <w:rPr>
                <w:i/>
              </w:rPr>
            </w:pPr>
            <w:r w:rsidRPr="00D575DC">
              <w:rPr>
                <w:i/>
              </w:rPr>
              <w:t>1656</w:t>
            </w:r>
          </w:p>
        </w:tc>
        <w:tc>
          <w:tcPr>
            <w:tcW w:w="789" w:type="dxa"/>
            <w:shd w:val="clear" w:color="auto" w:fill="auto"/>
          </w:tcPr>
          <w:p w:rsidR="00742CFA" w:rsidRPr="00D575DC" w:rsidRDefault="00742CFA" w:rsidP="00742CFA">
            <w:pPr>
              <w:pStyle w:val="TCTableBody"/>
              <w:jc w:val="center"/>
              <w:rPr>
                <w:i/>
              </w:rPr>
            </w:pPr>
            <w:r w:rsidRPr="00D575DC">
              <w:rPr>
                <w:i/>
              </w:rPr>
              <w:t>1460</w:t>
            </w: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pPr>
            <w:r w:rsidRPr="00D575DC">
              <w:t>283.15</w:t>
            </w:r>
          </w:p>
        </w:tc>
        <w:tc>
          <w:tcPr>
            <w:tcW w:w="794" w:type="dxa"/>
            <w:shd w:val="clear" w:color="auto" w:fill="9966FF"/>
          </w:tcPr>
          <w:p w:rsidR="00742CFA" w:rsidRPr="00D575DC" w:rsidRDefault="00742CFA" w:rsidP="00742CFA">
            <w:pPr>
              <w:pStyle w:val="TCTableBody"/>
              <w:jc w:val="center"/>
              <w:rPr>
                <w:b/>
              </w:rPr>
            </w:pPr>
            <w:r w:rsidRPr="00D575DC">
              <w:rPr>
                <w:b/>
              </w:rPr>
              <w:t>His</w:t>
            </w:r>
          </w:p>
        </w:tc>
        <w:tc>
          <w:tcPr>
            <w:tcW w:w="838" w:type="dxa"/>
            <w:shd w:val="clear" w:color="auto" w:fill="008000"/>
          </w:tcPr>
          <w:p w:rsidR="00742CFA" w:rsidRPr="00D575DC" w:rsidRDefault="00742CFA" w:rsidP="00742CFA">
            <w:pPr>
              <w:pStyle w:val="TCTableBody"/>
              <w:jc w:val="center"/>
              <w:rPr>
                <w:b/>
              </w:rPr>
            </w:pPr>
            <w:r w:rsidRPr="00D575DC">
              <w:rPr>
                <w:b/>
              </w:rPr>
              <w:t>Pro</w:t>
            </w:r>
          </w:p>
        </w:tc>
        <w:tc>
          <w:tcPr>
            <w:tcW w:w="802" w:type="dxa"/>
            <w:shd w:val="clear" w:color="auto" w:fill="00B0F0"/>
          </w:tcPr>
          <w:p w:rsidR="00742CFA" w:rsidRPr="00D575DC" w:rsidRDefault="00742CFA" w:rsidP="00742CFA">
            <w:pPr>
              <w:pStyle w:val="TCTableBody"/>
              <w:jc w:val="center"/>
              <w:rPr>
                <w:b/>
              </w:rPr>
            </w:pPr>
            <w:r w:rsidRPr="00D575DC">
              <w:rPr>
                <w:b/>
              </w:rPr>
              <w:t>Lys</w:t>
            </w:r>
          </w:p>
        </w:tc>
        <w:tc>
          <w:tcPr>
            <w:tcW w:w="802" w:type="dxa"/>
            <w:shd w:val="clear" w:color="auto" w:fill="CCFF33"/>
          </w:tcPr>
          <w:p w:rsidR="00742CFA" w:rsidRPr="00D575DC" w:rsidRDefault="00742CFA" w:rsidP="00742CFA">
            <w:pPr>
              <w:pStyle w:val="TCTableBody"/>
              <w:jc w:val="center"/>
              <w:rPr>
                <w:b/>
              </w:rPr>
            </w:pPr>
            <w:r w:rsidRPr="00D575DC">
              <w:rPr>
                <w:b/>
              </w:rPr>
              <w:t>Met</w:t>
            </w:r>
          </w:p>
        </w:tc>
        <w:tc>
          <w:tcPr>
            <w:tcW w:w="827" w:type="dxa"/>
            <w:shd w:val="clear" w:color="auto" w:fill="006666"/>
          </w:tcPr>
          <w:p w:rsidR="00742CFA" w:rsidRPr="00D575DC" w:rsidRDefault="00742CFA" w:rsidP="00742CFA">
            <w:pPr>
              <w:pStyle w:val="TCTableBody"/>
              <w:jc w:val="center"/>
              <w:rPr>
                <w:b/>
              </w:rPr>
            </w:pPr>
            <w:proofErr w:type="spellStart"/>
            <w:r w:rsidRPr="00D575DC">
              <w:rPr>
                <w:b/>
              </w:rPr>
              <w:t>Phe</w:t>
            </w:r>
            <w:proofErr w:type="spellEnd"/>
          </w:p>
        </w:tc>
        <w:tc>
          <w:tcPr>
            <w:tcW w:w="827" w:type="dxa"/>
            <w:shd w:val="clear" w:color="auto" w:fill="FF0000"/>
          </w:tcPr>
          <w:p w:rsidR="00742CFA" w:rsidRPr="00D575DC" w:rsidRDefault="00742CFA" w:rsidP="00742CFA">
            <w:pPr>
              <w:pStyle w:val="TCTableBody"/>
              <w:jc w:val="center"/>
              <w:rPr>
                <w:b/>
              </w:rPr>
            </w:pPr>
            <w:r w:rsidRPr="00D575DC">
              <w:rPr>
                <w:b/>
              </w:rPr>
              <w:t>Asp</w:t>
            </w:r>
          </w:p>
        </w:tc>
        <w:tc>
          <w:tcPr>
            <w:tcW w:w="814" w:type="dxa"/>
            <w:shd w:val="clear" w:color="auto" w:fill="6699FF"/>
          </w:tcPr>
          <w:p w:rsidR="00742CFA" w:rsidRPr="00D575DC" w:rsidRDefault="00742CFA" w:rsidP="00742CFA">
            <w:pPr>
              <w:pStyle w:val="TCTableBody"/>
              <w:jc w:val="center"/>
              <w:rPr>
                <w:b/>
              </w:rPr>
            </w:pPr>
            <w:proofErr w:type="spellStart"/>
            <w:r w:rsidRPr="00D575DC">
              <w:rPr>
                <w:b/>
              </w:rPr>
              <w:t>Glu</w:t>
            </w:r>
            <w:proofErr w:type="spellEnd"/>
          </w:p>
        </w:tc>
        <w:tc>
          <w:tcPr>
            <w:tcW w:w="789" w:type="dxa"/>
            <w:shd w:val="clear" w:color="auto" w:fill="FF66FF"/>
          </w:tcPr>
          <w:p w:rsidR="00742CFA" w:rsidRPr="00D575DC" w:rsidRDefault="00742CFA" w:rsidP="00742CFA">
            <w:pPr>
              <w:pStyle w:val="TCTableBody"/>
              <w:jc w:val="center"/>
              <w:rPr>
                <w:b/>
              </w:rPr>
            </w:pPr>
            <w:r w:rsidRPr="00D575DC">
              <w:rPr>
                <w:b/>
              </w:rPr>
              <w:t>Val</w:t>
            </w:r>
          </w:p>
        </w:tc>
        <w:tc>
          <w:tcPr>
            <w:tcW w:w="814" w:type="dxa"/>
            <w:shd w:val="clear" w:color="auto" w:fill="99FF33"/>
          </w:tcPr>
          <w:p w:rsidR="00742CFA" w:rsidRPr="00D575DC" w:rsidRDefault="00742CFA" w:rsidP="00742CFA">
            <w:pPr>
              <w:pStyle w:val="TCTableBody"/>
              <w:jc w:val="center"/>
              <w:rPr>
                <w:b/>
              </w:rPr>
            </w:pPr>
            <w:proofErr w:type="spellStart"/>
            <w:r w:rsidRPr="00D575DC">
              <w:rPr>
                <w:b/>
              </w:rPr>
              <w:t>Asn</w:t>
            </w:r>
            <w:proofErr w:type="spellEnd"/>
          </w:p>
        </w:tc>
        <w:tc>
          <w:tcPr>
            <w:tcW w:w="827" w:type="dxa"/>
            <w:shd w:val="clear" w:color="auto" w:fill="FF9933"/>
          </w:tcPr>
          <w:p w:rsidR="00742CFA" w:rsidRPr="00D575DC" w:rsidRDefault="00742CFA" w:rsidP="00742CFA">
            <w:pPr>
              <w:pStyle w:val="TCTableBody"/>
              <w:jc w:val="center"/>
              <w:rPr>
                <w:b/>
              </w:rPr>
            </w:pPr>
            <w:proofErr w:type="spellStart"/>
            <w:r w:rsidRPr="00D575DC">
              <w:rPr>
                <w:b/>
              </w:rPr>
              <w:t>Ser</w:t>
            </w:r>
            <w:proofErr w:type="spellEnd"/>
          </w:p>
        </w:tc>
        <w:tc>
          <w:tcPr>
            <w:tcW w:w="814" w:type="dxa"/>
            <w:shd w:val="clear" w:color="auto" w:fill="0066FF"/>
          </w:tcPr>
          <w:p w:rsidR="00742CFA" w:rsidRPr="00D575DC" w:rsidRDefault="00742CFA" w:rsidP="00742CFA">
            <w:pPr>
              <w:pStyle w:val="TCTableBody"/>
              <w:jc w:val="center"/>
              <w:rPr>
                <w:b/>
              </w:rPr>
            </w:pPr>
            <w:proofErr w:type="spellStart"/>
            <w:r w:rsidRPr="00D575DC">
              <w:rPr>
                <w:b/>
              </w:rPr>
              <w:t>Leu</w:t>
            </w:r>
            <w:proofErr w:type="spellEnd"/>
          </w:p>
        </w:tc>
        <w:tc>
          <w:tcPr>
            <w:tcW w:w="777" w:type="dxa"/>
            <w:shd w:val="clear" w:color="auto" w:fill="CC0066"/>
          </w:tcPr>
          <w:p w:rsidR="00742CFA" w:rsidRPr="00D575DC" w:rsidRDefault="00742CFA" w:rsidP="00742CFA">
            <w:pPr>
              <w:pStyle w:val="TCTableBody"/>
              <w:jc w:val="center"/>
              <w:rPr>
                <w:b/>
              </w:rPr>
            </w:pPr>
            <w:proofErr w:type="spellStart"/>
            <w:r w:rsidRPr="00D575DC">
              <w:rPr>
                <w:b/>
              </w:rPr>
              <w:t>Arg</w:t>
            </w:r>
            <w:proofErr w:type="spellEnd"/>
          </w:p>
        </w:tc>
        <w:tc>
          <w:tcPr>
            <w:tcW w:w="827" w:type="dxa"/>
            <w:shd w:val="clear" w:color="auto" w:fill="AEAAAA"/>
          </w:tcPr>
          <w:p w:rsidR="00742CFA" w:rsidRPr="00D575DC" w:rsidRDefault="00742CFA" w:rsidP="00742CFA">
            <w:pPr>
              <w:pStyle w:val="TCTableBody"/>
              <w:jc w:val="center"/>
              <w:rPr>
                <w:b/>
              </w:rPr>
            </w:pPr>
            <w:proofErr w:type="spellStart"/>
            <w:r w:rsidRPr="00D575DC">
              <w:rPr>
                <w:b/>
              </w:rPr>
              <w:t>Trp</w:t>
            </w:r>
            <w:proofErr w:type="spellEnd"/>
          </w:p>
        </w:tc>
        <w:tc>
          <w:tcPr>
            <w:tcW w:w="738" w:type="dxa"/>
            <w:shd w:val="clear" w:color="auto" w:fill="99CCFF"/>
          </w:tcPr>
          <w:p w:rsidR="00742CFA" w:rsidRPr="00D575DC" w:rsidRDefault="00742CFA" w:rsidP="00742CFA">
            <w:pPr>
              <w:pStyle w:val="TCTableBody"/>
              <w:jc w:val="center"/>
              <w:rPr>
                <w:b/>
              </w:rPr>
            </w:pPr>
            <w:proofErr w:type="spellStart"/>
            <w:r w:rsidRPr="00D575DC">
              <w:rPr>
                <w:b/>
              </w:rPr>
              <w:t>Gly</w:t>
            </w:r>
            <w:proofErr w:type="spellEnd"/>
          </w:p>
        </w:tc>
        <w:tc>
          <w:tcPr>
            <w:tcW w:w="827" w:type="dxa"/>
            <w:shd w:val="clear" w:color="auto" w:fill="00FFCC"/>
          </w:tcPr>
          <w:p w:rsidR="00742CFA" w:rsidRPr="00D575DC" w:rsidRDefault="00742CFA" w:rsidP="00742CFA">
            <w:pPr>
              <w:pStyle w:val="TCTableBody"/>
              <w:jc w:val="center"/>
              <w:rPr>
                <w:b/>
              </w:rPr>
            </w:pPr>
            <w:proofErr w:type="spellStart"/>
            <w:r w:rsidRPr="00D575DC">
              <w:rPr>
                <w:b/>
              </w:rPr>
              <w:t>Thr</w:t>
            </w:r>
            <w:proofErr w:type="spellEnd"/>
          </w:p>
        </w:tc>
        <w:tc>
          <w:tcPr>
            <w:tcW w:w="847" w:type="dxa"/>
            <w:shd w:val="clear" w:color="auto" w:fill="FFCCCC"/>
          </w:tcPr>
          <w:p w:rsidR="00742CFA" w:rsidRPr="00D575DC" w:rsidRDefault="00742CFA" w:rsidP="00742CFA">
            <w:pPr>
              <w:pStyle w:val="TCTableBody"/>
              <w:jc w:val="center"/>
              <w:rPr>
                <w:b/>
              </w:rPr>
            </w:pPr>
            <w:proofErr w:type="spellStart"/>
            <w:r w:rsidRPr="00D575DC">
              <w:rPr>
                <w:b/>
              </w:rPr>
              <w:t>Gln</w:t>
            </w:r>
            <w:proofErr w:type="spellEnd"/>
          </w:p>
        </w:tc>
        <w:tc>
          <w:tcPr>
            <w:tcW w:w="849" w:type="dxa"/>
            <w:shd w:val="clear" w:color="auto" w:fill="99FF99"/>
          </w:tcPr>
          <w:p w:rsidR="00742CFA" w:rsidRPr="00D575DC" w:rsidRDefault="00742CFA" w:rsidP="00742CFA">
            <w:pPr>
              <w:pStyle w:val="TCTableBody"/>
              <w:jc w:val="center"/>
              <w:rPr>
                <w:b/>
              </w:rPr>
            </w:pPr>
            <w:r w:rsidRPr="00D575DC">
              <w:rPr>
                <w:b/>
              </w:rPr>
              <w:t>Ala</w:t>
            </w:r>
          </w:p>
        </w:tc>
        <w:tc>
          <w:tcPr>
            <w:tcW w:w="789" w:type="dxa"/>
            <w:shd w:val="clear" w:color="auto" w:fill="CC6600"/>
          </w:tcPr>
          <w:p w:rsidR="00742CFA" w:rsidRPr="00D575DC" w:rsidRDefault="00742CFA" w:rsidP="00742CFA">
            <w:pPr>
              <w:pStyle w:val="TCTableBody"/>
              <w:jc w:val="center"/>
              <w:rPr>
                <w:b/>
              </w:rPr>
            </w:pPr>
            <w:r w:rsidRPr="00D575DC">
              <w:rPr>
                <w:b/>
              </w:rPr>
              <w:t>Ile</w:t>
            </w: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rPr>
                <w:i/>
              </w:rPr>
            </w:pPr>
            <w:r w:rsidRPr="00D575DC">
              <w:rPr>
                <w:i/>
              </w:rPr>
              <w:t>A</w:t>
            </w:r>
            <w:r w:rsidRPr="00D575DC">
              <w:rPr>
                <w:i/>
                <w:vertAlign w:val="subscript"/>
              </w:rPr>
              <w:t>m</w:t>
            </w:r>
          </w:p>
        </w:tc>
        <w:tc>
          <w:tcPr>
            <w:tcW w:w="794" w:type="dxa"/>
            <w:shd w:val="clear" w:color="auto" w:fill="auto"/>
          </w:tcPr>
          <w:p w:rsidR="00742CFA" w:rsidRPr="00D575DC" w:rsidRDefault="00742CFA" w:rsidP="00742CFA">
            <w:pPr>
              <w:pStyle w:val="TCTableBody"/>
              <w:jc w:val="center"/>
              <w:rPr>
                <w:i/>
              </w:rPr>
            </w:pPr>
            <w:r w:rsidRPr="00D575DC">
              <w:rPr>
                <w:i/>
              </w:rPr>
              <w:t>9.35</w:t>
            </w:r>
          </w:p>
        </w:tc>
        <w:tc>
          <w:tcPr>
            <w:tcW w:w="838" w:type="dxa"/>
            <w:shd w:val="clear" w:color="auto" w:fill="auto"/>
          </w:tcPr>
          <w:p w:rsidR="00742CFA" w:rsidRPr="00D575DC" w:rsidRDefault="00742CFA" w:rsidP="00742CFA">
            <w:pPr>
              <w:pStyle w:val="TCTableBody"/>
              <w:jc w:val="center"/>
              <w:rPr>
                <w:i/>
              </w:rPr>
            </w:pPr>
            <w:r w:rsidRPr="00D575DC">
              <w:rPr>
                <w:i/>
              </w:rPr>
              <w:t>3.76</w:t>
            </w:r>
          </w:p>
        </w:tc>
        <w:tc>
          <w:tcPr>
            <w:tcW w:w="802" w:type="dxa"/>
            <w:shd w:val="clear" w:color="auto" w:fill="auto"/>
          </w:tcPr>
          <w:p w:rsidR="00742CFA" w:rsidRPr="00D575DC" w:rsidRDefault="00742CFA" w:rsidP="00742CFA">
            <w:pPr>
              <w:pStyle w:val="TCTableBody"/>
              <w:jc w:val="center"/>
              <w:rPr>
                <w:i/>
              </w:rPr>
            </w:pPr>
            <w:r w:rsidRPr="00D575DC">
              <w:rPr>
                <w:i/>
              </w:rPr>
              <w:t>2.04</w:t>
            </w:r>
          </w:p>
        </w:tc>
        <w:tc>
          <w:tcPr>
            <w:tcW w:w="802" w:type="dxa"/>
            <w:shd w:val="clear" w:color="auto" w:fill="auto"/>
          </w:tcPr>
          <w:p w:rsidR="00742CFA" w:rsidRPr="00D575DC" w:rsidRDefault="00742CFA" w:rsidP="00742CFA">
            <w:pPr>
              <w:pStyle w:val="TCTableBody"/>
              <w:jc w:val="center"/>
              <w:rPr>
                <w:i/>
              </w:rPr>
            </w:pPr>
            <w:r w:rsidRPr="00D575DC">
              <w:rPr>
                <w:i/>
              </w:rPr>
              <w:t>1.86</w:t>
            </w:r>
          </w:p>
        </w:tc>
        <w:tc>
          <w:tcPr>
            <w:tcW w:w="827" w:type="dxa"/>
            <w:shd w:val="clear" w:color="auto" w:fill="auto"/>
          </w:tcPr>
          <w:p w:rsidR="00742CFA" w:rsidRPr="00D575DC" w:rsidRDefault="00742CFA" w:rsidP="00742CFA">
            <w:pPr>
              <w:pStyle w:val="TCTableBody"/>
              <w:jc w:val="center"/>
              <w:rPr>
                <w:i/>
              </w:rPr>
            </w:pPr>
            <w:r w:rsidRPr="00D575DC">
              <w:rPr>
                <w:i/>
              </w:rPr>
              <w:t>1.55</w:t>
            </w:r>
          </w:p>
        </w:tc>
        <w:tc>
          <w:tcPr>
            <w:tcW w:w="827" w:type="dxa"/>
            <w:shd w:val="clear" w:color="auto" w:fill="auto"/>
          </w:tcPr>
          <w:p w:rsidR="00742CFA" w:rsidRPr="00D575DC" w:rsidRDefault="00742CFA" w:rsidP="00742CFA">
            <w:pPr>
              <w:pStyle w:val="TCTableBody"/>
              <w:jc w:val="center"/>
              <w:rPr>
                <w:i/>
              </w:rPr>
            </w:pPr>
            <w:r w:rsidRPr="00D575DC">
              <w:rPr>
                <w:i/>
              </w:rPr>
              <w:t>1.34</w:t>
            </w:r>
          </w:p>
        </w:tc>
        <w:tc>
          <w:tcPr>
            <w:tcW w:w="814" w:type="dxa"/>
            <w:shd w:val="clear" w:color="auto" w:fill="auto"/>
          </w:tcPr>
          <w:p w:rsidR="00742CFA" w:rsidRPr="00D575DC" w:rsidRDefault="00742CFA" w:rsidP="00742CFA">
            <w:pPr>
              <w:pStyle w:val="TCTableBody"/>
              <w:jc w:val="center"/>
              <w:rPr>
                <w:i/>
              </w:rPr>
            </w:pPr>
            <w:r w:rsidRPr="00D575DC">
              <w:rPr>
                <w:i/>
              </w:rPr>
              <w:t>1.03</w:t>
            </w:r>
          </w:p>
        </w:tc>
        <w:tc>
          <w:tcPr>
            <w:tcW w:w="789" w:type="dxa"/>
            <w:shd w:val="clear" w:color="auto" w:fill="auto"/>
          </w:tcPr>
          <w:p w:rsidR="00742CFA" w:rsidRPr="00D575DC" w:rsidRDefault="00742CFA" w:rsidP="00742CFA">
            <w:pPr>
              <w:pStyle w:val="TCTableBody"/>
              <w:jc w:val="center"/>
              <w:rPr>
                <w:i/>
              </w:rPr>
            </w:pPr>
            <w:r w:rsidRPr="00D575DC">
              <w:rPr>
                <w:i/>
              </w:rPr>
              <w:t>0.93</w:t>
            </w:r>
          </w:p>
        </w:tc>
        <w:tc>
          <w:tcPr>
            <w:tcW w:w="814" w:type="dxa"/>
            <w:shd w:val="clear" w:color="auto" w:fill="auto"/>
          </w:tcPr>
          <w:p w:rsidR="00742CFA" w:rsidRPr="00D575DC" w:rsidRDefault="00742CFA" w:rsidP="00742CFA">
            <w:pPr>
              <w:pStyle w:val="TCTableBody"/>
              <w:jc w:val="center"/>
              <w:rPr>
                <w:i/>
              </w:rPr>
            </w:pPr>
            <w:r w:rsidRPr="00D575DC">
              <w:rPr>
                <w:i/>
              </w:rPr>
              <w:t>0.89</w:t>
            </w:r>
          </w:p>
        </w:tc>
        <w:tc>
          <w:tcPr>
            <w:tcW w:w="827" w:type="dxa"/>
            <w:shd w:val="clear" w:color="auto" w:fill="auto"/>
          </w:tcPr>
          <w:p w:rsidR="00742CFA" w:rsidRPr="00D575DC" w:rsidRDefault="00742CFA" w:rsidP="00742CFA">
            <w:pPr>
              <w:pStyle w:val="TCTableBody"/>
              <w:jc w:val="center"/>
              <w:rPr>
                <w:i/>
              </w:rPr>
            </w:pPr>
            <w:r w:rsidRPr="00D575DC">
              <w:rPr>
                <w:i/>
              </w:rPr>
              <w:t>0.77</w:t>
            </w:r>
          </w:p>
        </w:tc>
        <w:tc>
          <w:tcPr>
            <w:tcW w:w="814" w:type="dxa"/>
            <w:shd w:val="clear" w:color="auto" w:fill="auto"/>
          </w:tcPr>
          <w:p w:rsidR="00742CFA" w:rsidRPr="00D575DC" w:rsidRDefault="00742CFA" w:rsidP="00742CFA">
            <w:pPr>
              <w:pStyle w:val="TCTableBody"/>
              <w:jc w:val="center"/>
              <w:rPr>
                <w:i/>
              </w:rPr>
            </w:pPr>
            <w:r w:rsidRPr="00D575DC">
              <w:rPr>
                <w:i/>
              </w:rPr>
              <w:t>0.76</w:t>
            </w:r>
          </w:p>
        </w:tc>
        <w:tc>
          <w:tcPr>
            <w:tcW w:w="777" w:type="dxa"/>
            <w:shd w:val="clear" w:color="auto" w:fill="auto"/>
          </w:tcPr>
          <w:p w:rsidR="00742CFA" w:rsidRPr="00D575DC" w:rsidRDefault="00742CFA" w:rsidP="00742CFA">
            <w:pPr>
              <w:pStyle w:val="TCTableBody"/>
              <w:jc w:val="center"/>
              <w:rPr>
                <w:i/>
              </w:rPr>
            </w:pPr>
            <w:r w:rsidRPr="00D575DC">
              <w:rPr>
                <w:i/>
              </w:rPr>
              <w:t>0.67</w:t>
            </w:r>
          </w:p>
        </w:tc>
        <w:tc>
          <w:tcPr>
            <w:tcW w:w="827" w:type="dxa"/>
          </w:tcPr>
          <w:p w:rsidR="00742CFA" w:rsidRPr="00D575DC" w:rsidRDefault="00742CFA" w:rsidP="00742CFA">
            <w:pPr>
              <w:pStyle w:val="TCTableBody"/>
              <w:jc w:val="center"/>
              <w:rPr>
                <w:i/>
              </w:rPr>
            </w:pPr>
            <w:r w:rsidRPr="00D575DC">
              <w:rPr>
                <w:i/>
              </w:rPr>
              <w:t>0.65</w:t>
            </w:r>
          </w:p>
        </w:tc>
        <w:tc>
          <w:tcPr>
            <w:tcW w:w="738" w:type="dxa"/>
            <w:shd w:val="clear" w:color="auto" w:fill="auto"/>
          </w:tcPr>
          <w:p w:rsidR="00742CFA" w:rsidRPr="00D575DC" w:rsidRDefault="00742CFA" w:rsidP="00742CFA">
            <w:pPr>
              <w:pStyle w:val="TCTableBody"/>
              <w:jc w:val="center"/>
              <w:rPr>
                <w:i/>
              </w:rPr>
            </w:pPr>
            <w:r w:rsidRPr="00D575DC">
              <w:rPr>
                <w:i/>
              </w:rPr>
              <w:t>0.54</w:t>
            </w:r>
          </w:p>
        </w:tc>
        <w:tc>
          <w:tcPr>
            <w:tcW w:w="827" w:type="dxa"/>
            <w:shd w:val="clear" w:color="auto" w:fill="auto"/>
          </w:tcPr>
          <w:p w:rsidR="00742CFA" w:rsidRPr="00D575DC" w:rsidRDefault="00742CFA" w:rsidP="00742CFA">
            <w:pPr>
              <w:pStyle w:val="TCTableBody"/>
              <w:jc w:val="center"/>
              <w:rPr>
                <w:i/>
              </w:rPr>
            </w:pPr>
            <w:r w:rsidRPr="00D575DC">
              <w:rPr>
                <w:i/>
              </w:rPr>
              <w:t>0.54</w:t>
            </w:r>
          </w:p>
        </w:tc>
        <w:tc>
          <w:tcPr>
            <w:tcW w:w="847" w:type="dxa"/>
            <w:shd w:val="clear" w:color="auto" w:fill="auto"/>
          </w:tcPr>
          <w:p w:rsidR="00742CFA" w:rsidRPr="00D575DC" w:rsidRDefault="00742CFA" w:rsidP="00742CFA">
            <w:pPr>
              <w:pStyle w:val="TCTableBody"/>
              <w:jc w:val="center"/>
              <w:rPr>
                <w:i/>
              </w:rPr>
            </w:pPr>
            <w:r w:rsidRPr="00D575DC">
              <w:rPr>
                <w:i/>
              </w:rPr>
              <w:t>0.41</w:t>
            </w:r>
          </w:p>
        </w:tc>
        <w:tc>
          <w:tcPr>
            <w:tcW w:w="849" w:type="dxa"/>
            <w:shd w:val="clear" w:color="auto" w:fill="auto"/>
          </w:tcPr>
          <w:p w:rsidR="00742CFA" w:rsidRPr="00D575DC" w:rsidRDefault="00742CFA" w:rsidP="00742CFA">
            <w:pPr>
              <w:pStyle w:val="TCTableBody"/>
              <w:jc w:val="center"/>
              <w:rPr>
                <w:i/>
              </w:rPr>
            </w:pPr>
            <w:r w:rsidRPr="00D575DC">
              <w:rPr>
                <w:i/>
              </w:rPr>
              <w:t>0.33</w:t>
            </w:r>
          </w:p>
        </w:tc>
        <w:tc>
          <w:tcPr>
            <w:tcW w:w="789" w:type="dxa"/>
            <w:shd w:val="clear" w:color="auto" w:fill="auto"/>
          </w:tcPr>
          <w:p w:rsidR="00742CFA" w:rsidRPr="00D575DC" w:rsidRDefault="00742CFA" w:rsidP="00742CFA">
            <w:pPr>
              <w:pStyle w:val="TCTableBody"/>
              <w:jc w:val="center"/>
              <w:rPr>
                <w:i/>
              </w:rPr>
            </w:pPr>
            <w:r w:rsidRPr="00D575DC">
              <w:rPr>
                <w:i/>
              </w:rPr>
              <w:t>0.32</w:t>
            </w: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rPr>
                <w:i/>
              </w:rPr>
            </w:pPr>
            <w:proofErr w:type="spellStart"/>
            <w:r w:rsidRPr="00D575DC">
              <w:rPr>
                <w:i/>
              </w:rPr>
              <w:t>soly</w:t>
            </w:r>
            <w:proofErr w:type="spellEnd"/>
          </w:p>
        </w:tc>
        <w:tc>
          <w:tcPr>
            <w:tcW w:w="794" w:type="dxa"/>
            <w:shd w:val="clear" w:color="auto" w:fill="auto"/>
          </w:tcPr>
          <w:p w:rsidR="00742CFA" w:rsidRPr="00D575DC" w:rsidRDefault="00742CFA" w:rsidP="00742CFA">
            <w:pPr>
              <w:pStyle w:val="TCTableBody"/>
              <w:jc w:val="center"/>
              <w:rPr>
                <w:i/>
              </w:rPr>
            </w:pPr>
            <w:r w:rsidRPr="00D575DC">
              <w:rPr>
                <w:i/>
              </w:rPr>
              <w:t>258</w:t>
            </w:r>
          </w:p>
        </w:tc>
        <w:tc>
          <w:tcPr>
            <w:tcW w:w="838" w:type="dxa"/>
            <w:shd w:val="clear" w:color="auto" w:fill="auto"/>
          </w:tcPr>
          <w:p w:rsidR="00742CFA" w:rsidRPr="00D575DC" w:rsidRDefault="00742CFA" w:rsidP="00742CFA">
            <w:pPr>
              <w:pStyle w:val="TCTableBody"/>
              <w:jc w:val="center"/>
              <w:rPr>
                <w:i/>
              </w:rPr>
            </w:pPr>
            <w:r w:rsidRPr="00D575DC">
              <w:rPr>
                <w:i/>
              </w:rPr>
              <w:t>8557</w:t>
            </w:r>
          </w:p>
        </w:tc>
        <w:tc>
          <w:tcPr>
            <w:tcW w:w="802" w:type="dxa"/>
            <w:shd w:val="clear" w:color="auto" w:fill="auto"/>
          </w:tcPr>
          <w:p w:rsidR="00742CFA" w:rsidRPr="00D575DC" w:rsidRDefault="00742CFA" w:rsidP="00742CFA">
            <w:pPr>
              <w:pStyle w:val="TCTableBody"/>
              <w:jc w:val="center"/>
              <w:rPr>
                <w:i/>
              </w:rPr>
            </w:pPr>
            <w:r w:rsidRPr="00D575DC">
              <w:rPr>
                <w:i/>
              </w:rPr>
              <w:t>3400</w:t>
            </w:r>
          </w:p>
        </w:tc>
        <w:tc>
          <w:tcPr>
            <w:tcW w:w="802" w:type="dxa"/>
            <w:shd w:val="clear" w:color="auto" w:fill="auto"/>
          </w:tcPr>
          <w:p w:rsidR="00742CFA" w:rsidRPr="00D575DC" w:rsidRDefault="00742CFA" w:rsidP="00742CFA">
            <w:pPr>
              <w:pStyle w:val="TCTableBody"/>
              <w:jc w:val="center"/>
              <w:rPr>
                <w:i/>
              </w:rPr>
            </w:pPr>
            <w:r w:rsidRPr="00D575DC">
              <w:rPr>
                <w:i/>
              </w:rPr>
              <w:t>227</w:t>
            </w:r>
          </w:p>
        </w:tc>
        <w:tc>
          <w:tcPr>
            <w:tcW w:w="827" w:type="dxa"/>
            <w:shd w:val="clear" w:color="auto" w:fill="auto"/>
          </w:tcPr>
          <w:p w:rsidR="00742CFA" w:rsidRPr="00D575DC" w:rsidRDefault="00742CFA" w:rsidP="00742CFA">
            <w:pPr>
              <w:pStyle w:val="TCTableBody"/>
              <w:jc w:val="center"/>
              <w:rPr>
                <w:i/>
              </w:rPr>
            </w:pPr>
            <w:r w:rsidRPr="00D575DC">
              <w:rPr>
                <w:i/>
              </w:rPr>
              <w:t>145</w:t>
            </w:r>
          </w:p>
        </w:tc>
        <w:tc>
          <w:tcPr>
            <w:tcW w:w="827" w:type="dxa"/>
            <w:shd w:val="clear" w:color="auto" w:fill="auto"/>
          </w:tcPr>
          <w:p w:rsidR="00742CFA" w:rsidRPr="00D575DC" w:rsidRDefault="00742CFA" w:rsidP="00742CFA">
            <w:pPr>
              <w:pStyle w:val="TCTableBody"/>
              <w:jc w:val="center"/>
              <w:rPr>
                <w:i/>
              </w:rPr>
            </w:pPr>
            <w:r w:rsidRPr="00D575DC">
              <w:rPr>
                <w:i/>
              </w:rPr>
              <w:t>22</w:t>
            </w:r>
          </w:p>
        </w:tc>
        <w:tc>
          <w:tcPr>
            <w:tcW w:w="814" w:type="dxa"/>
            <w:shd w:val="clear" w:color="auto" w:fill="auto"/>
          </w:tcPr>
          <w:p w:rsidR="00742CFA" w:rsidRPr="00D575DC" w:rsidRDefault="00742CFA" w:rsidP="00742CFA">
            <w:pPr>
              <w:pStyle w:val="TCTableBody"/>
              <w:jc w:val="center"/>
              <w:rPr>
                <w:i/>
              </w:rPr>
            </w:pPr>
            <w:r w:rsidRPr="00D575DC">
              <w:rPr>
                <w:i/>
              </w:rPr>
              <w:t>33</w:t>
            </w:r>
          </w:p>
        </w:tc>
        <w:tc>
          <w:tcPr>
            <w:tcW w:w="789" w:type="dxa"/>
            <w:shd w:val="clear" w:color="auto" w:fill="auto"/>
          </w:tcPr>
          <w:p w:rsidR="00742CFA" w:rsidRPr="00D575DC" w:rsidRDefault="00742CFA" w:rsidP="00742CFA">
            <w:pPr>
              <w:pStyle w:val="TCTableBody"/>
              <w:jc w:val="center"/>
              <w:rPr>
                <w:i/>
              </w:rPr>
            </w:pPr>
            <w:r w:rsidRPr="00D575DC">
              <w:rPr>
                <w:i/>
              </w:rPr>
              <w:t>726</w:t>
            </w:r>
          </w:p>
        </w:tc>
        <w:tc>
          <w:tcPr>
            <w:tcW w:w="814" w:type="dxa"/>
            <w:shd w:val="clear" w:color="auto" w:fill="auto"/>
          </w:tcPr>
          <w:p w:rsidR="00742CFA" w:rsidRPr="00D575DC" w:rsidRDefault="00742CFA" w:rsidP="00742CFA">
            <w:pPr>
              <w:pStyle w:val="TCTableBody"/>
              <w:jc w:val="center"/>
              <w:rPr>
                <w:i/>
              </w:rPr>
            </w:pPr>
            <w:r w:rsidRPr="00D575DC">
              <w:rPr>
                <w:i/>
              </w:rPr>
              <w:t>113</w:t>
            </w:r>
          </w:p>
        </w:tc>
        <w:tc>
          <w:tcPr>
            <w:tcW w:w="827" w:type="dxa"/>
            <w:shd w:val="clear" w:color="auto" w:fill="auto"/>
          </w:tcPr>
          <w:p w:rsidR="00742CFA" w:rsidRPr="00D575DC" w:rsidRDefault="00742CFA" w:rsidP="00742CFA">
            <w:pPr>
              <w:pStyle w:val="TCTableBody"/>
              <w:jc w:val="center"/>
              <w:rPr>
                <w:i/>
              </w:rPr>
            </w:pPr>
            <w:r w:rsidRPr="00D575DC">
              <w:rPr>
                <w:i/>
              </w:rPr>
              <w:t>2850</w:t>
            </w:r>
          </w:p>
        </w:tc>
        <w:tc>
          <w:tcPr>
            <w:tcW w:w="814" w:type="dxa"/>
            <w:shd w:val="clear" w:color="auto" w:fill="auto"/>
          </w:tcPr>
          <w:p w:rsidR="00742CFA" w:rsidRPr="00D575DC" w:rsidRDefault="00742CFA" w:rsidP="00742CFA">
            <w:pPr>
              <w:pStyle w:val="TCTableBody"/>
              <w:jc w:val="center"/>
              <w:rPr>
                <w:i/>
              </w:rPr>
            </w:pPr>
            <w:r w:rsidRPr="00D575DC">
              <w:rPr>
                <w:i/>
              </w:rPr>
              <w:t>172</w:t>
            </w:r>
          </w:p>
        </w:tc>
        <w:tc>
          <w:tcPr>
            <w:tcW w:w="777" w:type="dxa"/>
            <w:shd w:val="clear" w:color="auto" w:fill="auto"/>
          </w:tcPr>
          <w:p w:rsidR="00742CFA" w:rsidRPr="00D575DC" w:rsidRDefault="00742CFA" w:rsidP="00742CFA">
            <w:pPr>
              <w:pStyle w:val="TCTableBody"/>
              <w:jc w:val="center"/>
              <w:rPr>
                <w:i/>
              </w:rPr>
            </w:pPr>
            <w:r w:rsidRPr="00D575DC">
              <w:rPr>
                <w:i/>
              </w:rPr>
              <w:t>656</w:t>
            </w:r>
          </w:p>
        </w:tc>
        <w:tc>
          <w:tcPr>
            <w:tcW w:w="827" w:type="dxa"/>
          </w:tcPr>
          <w:p w:rsidR="00742CFA" w:rsidRPr="00D575DC" w:rsidRDefault="00742CFA" w:rsidP="00742CFA">
            <w:pPr>
              <w:pStyle w:val="TCTableBody"/>
              <w:jc w:val="center"/>
              <w:rPr>
                <w:i/>
              </w:rPr>
            </w:pPr>
            <w:r w:rsidRPr="00D575DC">
              <w:rPr>
                <w:i/>
              </w:rPr>
              <w:t>51</w:t>
            </w:r>
          </w:p>
        </w:tc>
        <w:tc>
          <w:tcPr>
            <w:tcW w:w="738" w:type="dxa"/>
            <w:shd w:val="clear" w:color="auto" w:fill="auto"/>
          </w:tcPr>
          <w:p w:rsidR="00742CFA" w:rsidRPr="00D575DC" w:rsidRDefault="00742CFA" w:rsidP="00742CFA">
            <w:pPr>
              <w:pStyle w:val="TCTableBody"/>
              <w:jc w:val="center"/>
              <w:rPr>
                <w:i/>
              </w:rPr>
            </w:pPr>
            <w:r w:rsidRPr="00D575DC">
              <w:rPr>
                <w:i/>
              </w:rPr>
              <w:t>2032</w:t>
            </w:r>
          </w:p>
        </w:tc>
        <w:tc>
          <w:tcPr>
            <w:tcW w:w="827" w:type="dxa"/>
            <w:shd w:val="clear" w:color="auto" w:fill="auto"/>
          </w:tcPr>
          <w:p w:rsidR="00742CFA" w:rsidRPr="00D575DC" w:rsidRDefault="00742CFA" w:rsidP="00742CFA">
            <w:pPr>
              <w:pStyle w:val="TCTableBody"/>
              <w:jc w:val="center"/>
              <w:rPr>
                <w:i/>
              </w:rPr>
            </w:pPr>
            <w:r w:rsidRPr="00D575DC">
              <w:rPr>
                <w:i/>
              </w:rPr>
              <w:t>581</w:t>
            </w:r>
          </w:p>
        </w:tc>
        <w:tc>
          <w:tcPr>
            <w:tcW w:w="847" w:type="dxa"/>
            <w:shd w:val="clear" w:color="auto" w:fill="auto"/>
          </w:tcPr>
          <w:p w:rsidR="00742CFA" w:rsidRPr="00D575DC" w:rsidRDefault="00742CFA" w:rsidP="00742CFA">
            <w:pPr>
              <w:pStyle w:val="TCTableBody"/>
              <w:jc w:val="center"/>
              <w:rPr>
                <w:i/>
              </w:rPr>
            </w:pPr>
            <w:r w:rsidRPr="00D575DC">
              <w:rPr>
                <w:i/>
              </w:rPr>
              <w:t>178</w:t>
            </w:r>
          </w:p>
        </w:tc>
        <w:tc>
          <w:tcPr>
            <w:tcW w:w="849" w:type="dxa"/>
            <w:shd w:val="clear" w:color="auto" w:fill="auto"/>
          </w:tcPr>
          <w:p w:rsidR="00742CFA" w:rsidRPr="00D575DC" w:rsidRDefault="00742CFA" w:rsidP="00742CFA">
            <w:pPr>
              <w:pStyle w:val="TCTableBody"/>
              <w:jc w:val="center"/>
              <w:rPr>
                <w:i/>
              </w:rPr>
            </w:pPr>
            <w:r w:rsidRPr="00D575DC">
              <w:rPr>
                <w:i/>
              </w:rPr>
              <w:t>1510</w:t>
            </w:r>
          </w:p>
        </w:tc>
        <w:tc>
          <w:tcPr>
            <w:tcW w:w="789" w:type="dxa"/>
            <w:shd w:val="clear" w:color="auto" w:fill="auto"/>
          </w:tcPr>
          <w:p w:rsidR="00742CFA" w:rsidRPr="00D575DC" w:rsidRDefault="00742CFA" w:rsidP="00742CFA">
            <w:pPr>
              <w:pStyle w:val="TCTableBody"/>
              <w:jc w:val="center"/>
              <w:rPr>
                <w:i/>
              </w:rPr>
            </w:pPr>
            <w:r w:rsidRPr="00D575DC">
              <w:rPr>
                <w:i/>
              </w:rPr>
              <w:t>252</w:t>
            </w: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pPr>
            <w:r w:rsidRPr="00D575DC">
              <w:t>293.15</w:t>
            </w:r>
          </w:p>
        </w:tc>
        <w:tc>
          <w:tcPr>
            <w:tcW w:w="794" w:type="dxa"/>
            <w:shd w:val="clear" w:color="auto" w:fill="9966FF"/>
          </w:tcPr>
          <w:p w:rsidR="00742CFA" w:rsidRPr="00D575DC" w:rsidRDefault="00742CFA" w:rsidP="00742CFA">
            <w:pPr>
              <w:pStyle w:val="TCTableBody"/>
              <w:jc w:val="center"/>
              <w:rPr>
                <w:b/>
              </w:rPr>
            </w:pPr>
            <w:r w:rsidRPr="00D575DC">
              <w:rPr>
                <w:b/>
              </w:rPr>
              <w:t>His</w:t>
            </w:r>
          </w:p>
        </w:tc>
        <w:tc>
          <w:tcPr>
            <w:tcW w:w="838" w:type="dxa"/>
            <w:shd w:val="clear" w:color="auto" w:fill="008000"/>
          </w:tcPr>
          <w:p w:rsidR="00742CFA" w:rsidRPr="00D575DC" w:rsidRDefault="00742CFA" w:rsidP="00742CFA">
            <w:pPr>
              <w:pStyle w:val="TCTableBody"/>
              <w:jc w:val="center"/>
              <w:rPr>
                <w:b/>
              </w:rPr>
            </w:pPr>
            <w:r w:rsidRPr="00D575DC">
              <w:rPr>
                <w:b/>
              </w:rPr>
              <w:t>Pro</w:t>
            </w:r>
          </w:p>
        </w:tc>
        <w:tc>
          <w:tcPr>
            <w:tcW w:w="802" w:type="dxa"/>
            <w:shd w:val="clear" w:color="auto" w:fill="CCFF33"/>
          </w:tcPr>
          <w:p w:rsidR="00742CFA" w:rsidRPr="00D575DC" w:rsidRDefault="00742CFA" w:rsidP="00742CFA">
            <w:pPr>
              <w:pStyle w:val="TCTableBody"/>
              <w:jc w:val="center"/>
              <w:rPr>
                <w:b/>
              </w:rPr>
            </w:pPr>
            <w:r w:rsidRPr="00D575DC">
              <w:rPr>
                <w:b/>
              </w:rPr>
              <w:t>Met</w:t>
            </w:r>
          </w:p>
        </w:tc>
        <w:tc>
          <w:tcPr>
            <w:tcW w:w="802" w:type="dxa"/>
            <w:shd w:val="clear" w:color="auto" w:fill="00B0F0"/>
          </w:tcPr>
          <w:p w:rsidR="00742CFA" w:rsidRPr="00D575DC" w:rsidRDefault="00742CFA" w:rsidP="00742CFA">
            <w:pPr>
              <w:pStyle w:val="TCTableBody"/>
              <w:jc w:val="center"/>
              <w:rPr>
                <w:b/>
              </w:rPr>
            </w:pPr>
            <w:r w:rsidRPr="00D575DC">
              <w:rPr>
                <w:b/>
              </w:rPr>
              <w:t>Lys</w:t>
            </w:r>
          </w:p>
        </w:tc>
        <w:tc>
          <w:tcPr>
            <w:tcW w:w="827" w:type="dxa"/>
            <w:shd w:val="clear" w:color="auto" w:fill="FFCCCC"/>
          </w:tcPr>
          <w:p w:rsidR="00742CFA" w:rsidRPr="00D575DC" w:rsidRDefault="00742CFA" w:rsidP="00742CFA">
            <w:pPr>
              <w:pStyle w:val="TCTableBody"/>
              <w:jc w:val="center"/>
              <w:rPr>
                <w:b/>
              </w:rPr>
            </w:pPr>
            <w:proofErr w:type="spellStart"/>
            <w:r w:rsidRPr="00D575DC">
              <w:rPr>
                <w:b/>
              </w:rPr>
              <w:t>Gln</w:t>
            </w:r>
            <w:proofErr w:type="spellEnd"/>
          </w:p>
        </w:tc>
        <w:tc>
          <w:tcPr>
            <w:tcW w:w="827" w:type="dxa"/>
            <w:shd w:val="clear" w:color="auto" w:fill="FF0000"/>
          </w:tcPr>
          <w:p w:rsidR="00742CFA" w:rsidRPr="00D575DC" w:rsidRDefault="00742CFA" w:rsidP="00742CFA">
            <w:pPr>
              <w:pStyle w:val="TCTableBody"/>
              <w:jc w:val="center"/>
              <w:rPr>
                <w:b/>
              </w:rPr>
            </w:pPr>
            <w:r w:rsidRPr="00D575DC">
              <w:rPr>
                <w:b/>
              </w:rPr>
              <w:t>Asp</w:t>
            </w:r>
          </w:p>
        </w:tc>
        <w:tc>
          <w:tcPr>
            <w:tcW w:w="814" w:type="dxa"/>
            <w:shd w:val="clear" w:color="auto" w:fill="0066FF"/>
          </w:tcPr>
          <w:p w:rsidR="00742CFA" w:rsidRPr="00D575DC" w:rsidRDefault="00742CFA" w:rsidP="00742CFA">
            <w:pPr>
              <w:pStyle w:val="TCTableBody"/>
              <w:jc w:val="center"/>
              <w:rPr>
                <w:b/>
              </w:rPr>
            </w:pPr>
            <w:proofErr w:type="spellStart"/>
            <w:r w:rsidRPr="00D575DC">
              <w:rPr>
                <w:b/>
              </w:rPr>
              <w:t>Leu</w:t>
            </w:r>
            <w:proofErr w:type="spellEnd"/>
          </w:p>
        </w:tc>
        <w:tc>
          <w:tcPr>
            <w:tcW w:w="789" w:type="dxa"/>
            <w:shd w:val="clear" w:color="auto" w:fill="006666"/>
          </w:tcPr>
          <w:p w:rsidR="00742CFA" w:rsidRPr="00D575DC" w:rsidRDefault="00742CFA" w:rsidP="00742CFA">
            <w:pPr>
              <w:pStyle w:val="TCTableBody"/>
              <w:jc w:val="center"/>
              <w:rPr>
                <w:b/>
              </w:rPr>
            </w:pPr>
            <w:proofErr w:type="spellStart"/>
            <w:r w:rsidRPr="00D575DC">
              <w:rPr>
                <w:b/>
              </w:rPr>
              <w:t>Phe</w:t>
            </w:r>
            <w:proofErr w:type="spellEnd"/>
          </w:p>
        </w:tc>
        <w:tc>
          <w:tcPr>
            <w:tcW w:w="814" w:type="dxa"/>
            <w:shd w:val="clear" w:color="auto" w:fill="6699FF"/>
          </w:tcPr>
          <w:p w:rsidR="00742CFA" w:rsidRPr="00D575DC" w:rsidRDefault="00742CFA" w:rsidP="00742CFA">
            <w:pPr>
              <w:pStyle w:val="TCTableBody"/>
              <w:jc w:val="center"/>
              <w:rPr>
                <w:b/>
              </w:rPr>
            </w:pPr>
            <w:proofErr w:type="spellStart"/>
            <w:r w:rsidRPr="00D575DC">
              <w:rPr>
                <w:b/>
              </w:rPr>
              <w:t>Glu</w:t>
            </w:r>
            <w:proofErr w:type="spellEnd"/>
          </w:p>
        </w:tc>
        <w:tc>
          <w:tcPr>
            <w:tcW w:w="827" w:type="dxa"/>
            <w:shd w:val="clear" w:color="auto" w:fill="FF66FF"/>
          </w:tcPr>
          <w:p w:rsidR="00742CFA" w:rsidRPr="00D575DC" w:rsidRDefault="00742CFA" w:rsidP="00742CFA">
            <w:pPr>
              <w:pStyle w:val="TCTableBody"/>
              <w:jc w:val="center"/>
              <w:rPr>
                <w:b/>
              </w:rPr>
            </w:pPr>
            <w:r w:rsidRPr="00D575DC">
              <w:rPr>
                <w:b/>
              </w:rPr>
              <w:t>Val</w:t>
            </w:r>
          </w:p>
        </w:tc>
        <w:tc>
          <w:tcPr>
            <w:tcW w:w="814" w:type="dxa"/>
            <w:shd w:val="clear" w:color="auto" w:fill="99FF33"/>
          </w:tcPr>
          <w:p w:rsidR="00742CFA" w:rsidRPr="00D575DC" w:rsidRDefault="00742CFA" w:rsidP="00742CFA">
            <w:pPr>
              <w:pStyle w:val="TCTableBody"/>
              <w:jc w:val="center"/>
              <w:rPr>
                <w:b/>
              </w:rPr>
            </w:pPr>
            <w:proofErr w:type="spellStart"/>
            <w:r w:rsidRPr="00D575DC">
              <w:rPr>
                <w:b/>
              </w:rPr>
              <w:t>Asn</w:t>
            </w:r>
            <w:proofErr w:type="spellEnd"/>
          </w:p>
        </w:tc>
        <w:tc>
          <w:tcPr>
            <w:tcW w:w="777" w:type="dxa"/>
            <w:shd w:val="clear" w:color="auto" w:fill="FF9933"/>
          </w:tcPr>
          <w:p w:rsidR="00742CFA" w:rsidRPr="00D575DC" w:rsidRDefault="00742CFA" w:rsidP="00742CFA">
            <w:pPr>
              <w:pStyle w:val="TCTableBody"/>
              <w:jc w:val="center"/>
              <w:rPr>
                <w:b/>
              </w:rPr>
            </w:pPr>
            <w:proofErr w:type="spellStart"/>
            <w:r w:rsidRPr="00D575DC">
              <w:rPr>
                <w:b/>
              </w:rPr>
              <w:t>Ser</w:t>
            </w:r>
            <w:proofErr w:type="spellEnd"/>
          </w:p>
        </w:tc>
        <w:tc>
          <w:tcPr>
            <w:tcW w:w="827" w:type="dxa"/>
            <w:shd w:val="clear" w:color="auto" w:fill="CC0066"/>
          </w:tcPr>
          <w:p w:rsidR="00742CFA" w:rsidRPr="00D575DC" w:rsidRDefault="00742CFA" w:rsidP="00742CFA">
            <w:pPr>
              <w:pStyle w:val="TCTableBody"/>
              <w:jc w:val="center"/>
              <w:rPr>
                <w:b/>
              </w:rPr>
            </w:pPr>
            <w:proofErr w:type="spellStart"/>
            <w:r w:rsidRPr="00D575DC">
              <w:rPr>
                <w:b/>
              </w:rPr>
              <w:t>Arg</w:t>
            </w:r>
            <w:proofErr w:type="spellEnd"/>
          </w:p>
        </w:tc>
        <w:tc>
          <w:tcPr>
            <w:tcW w:w="738" w:type="dxa"/>
            <w:shd w:val="clear" w:color="auto" w:fill="99CCFF"/>
          </w:tcPr>
          <w:p w:rsidR="00742CFA" w:rsidRPr="00D575DC" w:rsidRDefault="00742CFA" w:rsidP="00742CFA">
            <w:pPr>
              <w:pStyle w:val="TCTableBody"/>
              <w:jc w:val="center"/>
              <w:rPr>
                <w:b/>
              </w:rPr>
            </w:pPr>
            <w:proofErr w:type="spellStart"/>
            <w:r w:rsidRPr="00D575DC">
              <w:rPr>
                <w:b/>
              </w:rPr>
              <w:t>Gly</w:t>
            </w:r>
            <w:proofErr w:type="spellEnd"/>
          </w:p>
        </w:tc>
        <w:tc>
          <w:tcPr>
            <w:tcW w:w="827" w:type="dxa"/>
            <w:shd w:val="clear" w:color="auto" w:fill="00FFCC"/>
          </w:tcPr>
          <w:p w:rsidR="00742CFA" w:rsidRPr="00D575DC" w:rsidRDefault="00742CFA" w:rsidP="00742CFA">
            <w:pPr>
              <w:pStyle w:val="TCTableBody"/>
              <w:jc w:val="center"/>
              <w:rPr>
                <w:b/>
              </w:rPr>
            </w:pPr>
            <w:proofErr w:type="spellStart"/>
            <w:r w:rsidRPr="00D575DC">
              <w:rPr>
                <w:b/>
              </w:rPr>
              <w:t>Thr</w:t>
            </w:r>
            <w:proofErr w:type="spellEnd"/>
          </w:p>
        </w:tc>
        <w:tc>
          <w:tcPr>
            <w:tcW w:w="847" w:type="dxa"/>
            <w:shd w:val="clear" w:color="auto" w:fill="99FF99"/>
          </w:tcPr>
          <w:p w:rsidR="00742CFA" w:rsidRPr="00D575DC" w:rsidRDefault="00742CFA" w:rsidP="00742CFA">
            <w:pPr>
              <w:pStyle w:val="TCTableBody"/>
              <w:jc w:val="center"/>
              <w:rPr>
                <w:b/>
              </w:rPr>
            </w:pPr>
            <w:r w:rsidRPr="00D575DC">
              <w:rPr>
                <w:b/>
              </w:rPr>
              <w:t>Ala</w:t>
            </w:r>
          </w:p>
        </w:tc>
        <w:tc>
          <w:tcPr>
            <w:tcW w:w="849" w:type="dxa"/>
            <w:shd w:val="clear" w:color="auto" w:fill="CC6600"/>
          </w:tcPr>
          <w:p w:rsidR="00742CFA" w:rsidRPr="00D575DC" w:rsidRDefault="00742CFA" w:rsidP="00742CFA">
            <w:pPr>
              <w:pStyle w:val="TCTableBody"/>
              <w:jc w:val="center"/>
              <w:rPr>
                <w:b/>
              </w:rPr>
            </w:pPr>
            <w:r w:rsidRPr="00D575DC">
              <w:rPr>
                <w:b/>
              </w:rPr>
              <w:t>Ile</w:t>
            </w:r>
          </w:p>
        </w:tc>
        <w:tc>
          <w:tcPr>
            <w:tcW w:w="789" w:type="dxa"/>
            <w:shd w:val="clear" w:color="auto" w:fill="AEAAAA"/>
          </w:tcPr>
          <w:p w:rsidR="00742CFA" w:rsidRPr="00D575DC" w:rsidRDefault="00742CFA" w:rsidP="00742CFA">
            <w:pPr>
              <w:pStyle w:val="TCTableBody"/>
              <w:jc w:val="center"/>
              <w:rPr>
                <w:b/>
              </w:rPr>
            </w:pPr>
            <w:proofErr w:type="spellStart"/>
            <w:r w:rsidRPr="00D575DC">
              <w:rPr>
                <w:b/>
              </w:rPr>
              <w:t>Trp</w:t>
            </w:r>
            <w:proofErr w:type="spellEnd"/>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rPr>
                <w:i/>
              </w:rPr>
            </w:pPr>
            <w:r w:rsidRPr="00D575DC">
              <w:rPr>
                <w:i/>
              </w:rPr>
              <w:t>A</w:t>
            </w:r>
            <w:r w:rsidRPr="00D575DC">
              <w:rPr>
                <w:i/>
                <w:vertAlign w:val="subscript"/>
              </w:rPr>
              <w:t>m</w:t>
            </w:r>
          </w:p>
        </w:tc>
        <w:tc>
          <w:tcPr>
            <w:tcW w:w="794" w:type="dxa"/>
            <w:shd w:val="clear" w:color="auto" w:fill="auto"/>
          </w:tcPr>
          <w:p w:rsidR="00742CFA" w:rsidRPr="00D575DC" w:rsidRDefault="00742CFA" w:rsidP="00742CFA">
            <w:pPr>
              <w:pStyle w:val="TCTableBody"/>
              <w:jc w:val="center"/>
              <w:rPr>
                <w:i/>
              </w:rPr>
            </w:pPr>
            <w:r w:rsidRPr="00D575DC">
              <w:rPr>
                <w:i/>
              </w:rPr>
              <w:t>4.04</w:t>
            </w:r>
          </w:p>
        </w:tc>
        <w:tc>
          <w:tcPr>
            <w:tcW w:w="838" w:type="dxa"/>
            <w:shd w:val="clear" w:color="auto" w:fill="auto"/>
          </w:tcPr>
          <w:p w:rsidR="00742CFA" w:rsidRPr="00D575DC" w:rsidRDefault="00742CFA" w:rsidP="00742CFA">
            <w:pPr>
              <w:pStyle w:val="TCTableBody"/>
              <w:jc w:val="center"/>
              <w:rPr>
                <w:i/>
              </w:rPr>
            </w:pPr>
            <w:r w:rsidRPr="00D575DC">
              <w:rPr>
                <w:i/>
              </w:rPr>
              <w:t>3.28</w:t>
            </w:r>
          </w:p>
        </w:tc>
        <w:tc>
          <w:tcPr>
            <w:tcW w:w="802" w:type="dxa"/>
            <w:shd w:val="clear" w:color="auto" w:fill="auto"/>
          </w:tcPr>
          <w:p w:rsidR="00742CFA" w:rsidRPr="00D575DC" w:rsidRDefault="00742CFA" w:rsidP="00742CFA">
            <w:pPr>
              <w:pStyle w:val="TCTableBody"/>
              <w:jc w:val="center"/>
              <w:rPr>
                <w:i/>
              </w:rPr>
            </w:pPr>
            <w:r w:rsidRPr="00D575DC">
              <w:rPr>
                <w:i/>
              </w:rPr>
              <w:t>2.24</w:t>
            </w:r>
          </w:p>
        </w:tc>
        <w:tc>
          <w:tcPr>
            <w:tcW w:w="802" w:type="dxa"/>
            <w:shd w:val="clear" w:color="auto" w:fill="auto"/>
          </w:tcPr>
          <w:p w:rsidR="00742CFA" w:rsidRPr="00D575DC" w:rsidRDefault="00742CFA" w:rsidP="00742CFA">
            <w:pPr>
              <w:pStyle w:val="TCTableBody"/>
              <w:jc w:val="center"/>
              <w:rPr>
                <w:i/>
              </w:rPr>
            </w:pPr>
            <w:r w:rsidRPr="00D575DC">
              <w:rPr>
                <w:i/>
              </w:rPr>
              <w:t>2.00</w:t>
            </w:r>
          </w:p>
        </w:tc>
        <w:tc>
          <w:tcPr>
            <w:tcW w:w="827" w:type="dxa"/>
            <w:shd w:val="clear" w:color="auto" w:fill="auto"/>
          </w:tcPr>
          <w:p w:rsidR="00742CFA" w:rsidRPr="00D575DC" w:rsidRDefault="00742CFA" w:rsidP="00742CFA">
            <w:pPr>
              <w:pStyle w:val="TCTableBody"/>
              <w:jc w:val="center"/>
              <w:rPr>
                <w:i/>
              </w:rPr>
            </w:pPr>
            <w:r w:rsidRPr="00D575DC">
              <w:rPr>
                <w:i/>
              </w:rPr>
              <w:t>1.66</w:t>
            </w:r>
          </w:p>
        </w:tc>
        <w:tc>
          <w:tcPr>
            <w:tcW w:w="827" w:type="dxa"/>
            <w:shd w:val="clear" w:color="auto" w:fill="auto"/>
          </w:tcPr>
          <w:p w:rsidR="00742CFA" w:rsidRPr="00D575DC" w:rsidRDefault="00742CFA" w:rsidP="00742CFA">
            <w:pPr>
              <w:pStyle w:val="TCTableBody"/>
              <w:jc w:val="center"/>
              <w:rPr>
                <w:i/>
              </w:rPr>
            </w:pPr>
            <w:r w:rsidRPr="00D575DC">
              <w:rPr>
                <w:i/>
              </w:rPr>
              <w:t>1.57</w:t>
            </w:r>
          </w:p>
        </w:tc>
        <w:tc>
          <w:tcPr>
            <w:tcW w:w="814" w:type="dxa"/>
            <w:shd w:val="clear" w:color="auto" w:fill="auto"/>
          </w:tcPr>
          <w:p w:rsidR="00742CFA" w:rsidRPr="00D575DC" w:rsidRDefault="00742CFA" w:rsidP="00742CFA">
            <w:pPr>
              <w:pStyle w:val="TCTableBody"/>
              <w:jc w:val="center"/>
              <w:rPr>
                <w:i/>
              </w:rPr>
            </w:pPr>
            <w:r w:rsidRPr="00D575DC">
              <w:rPr>
                <w:i/>
              </w:rPr>
              <w:t>1.43</w:t>
            </w:r>
          </w:p>
        </w:tc>
        <w:tc>
          <w:tcPr>
            <w:tcW w:w="789" w:type="dxa"/>
            <w:shd w:val="clear" w:color="auto" w:fill="auto"/>
          </w:tcPr>
          <w:p w:rsidR="00742CFA" w:rsidRPr="00D575DC" w:rsidRDefault="00742CFA" w:rsidP="00742CFA">
            <w:pPr>
              <w:pStyle w:val="TCTableBody"/>
              <w:jc w:val="center"/>
              <w:rPr>
                <w:i/>
              </w:rPr>
            </w:pPr>
            <w:r w:rsidRPr="00D575DC">
              <w:rPr>
                <w:i/>
              </w:rPr>
              <w:t>1.31</w:t>
            </w:r>
          </w:p>
        </w:tc>
        <w:tc>
          <w:tcPr>
            <w:tcW w:w="814" w:type="dxa"/>
            <w:shd w:val="clear" w:color="auto" w:fill="auto"/>
          </w:tcPr>
          <w:p w:rsidR="00742CFA" w:rsidRPr="00D575DC" w:rsidRDefault="00742CFA" w:rsidP="00742CFA">
            <w:pPr>
              <w:pStyle w:val="TCTableBody"/>
              <w:jc w:val="center"/>
              <w:rPr>
                <w:i/>
              </w:rPr>
            </w:pPr>
            <w:r w:rsidRPr="00D575DC">
              <w:rPr>
                <w:i/>
              </w:rPr>
              <w:t>1.25</w:t>
            </w:r>
          </w:p>
        </w:tc>
        <w:tc>
          <w:tcPr>
            <w:tcW w:w="827" w:type="dxa"/>
            <w:shd w:val="clear" w:color="auto" w:fill="auto"/>
          </w:tcPr>
          <w:p w:rsidR="00742CFA" w:rsidRPr="00D575DC" w:rsidRDefault="00742CFA" w:rsidP="00742CFA">
            <w:pPr>
              <w:pStyle w:val="TCTableBody"/>
              <w:jc w:val="center"/>
              <w:rPr>
                <w:i/>
              </w:rPr>
            </w:pPr>
            <w:r w:rsidRPr="00D575DC">
              <w:rPr>
                <w:i/>
              </w:rPr>
              <w:t>1.03</w:t>
            </w:r>
          </w:p>
        </w:tc>
        <w:tc>
          <w:tcPr>
            <w:tcW w:w="814" w:type="dxa"/>
            <w:shd w:val="clear" w:color="auto" w:fill="auto"/>
          </w:tcPr>
          <w:p w:rsidR="00742CFA" w:rsidRPr="00D575DC" w:rsidRDefault="00742CFA" w:rsidP="00742CFA">
            <w:pPr>
              <w:pStyle w:val="TCTableBody"/>
              <w:jc w:val="center"/>
              <w:rPr>
                <w:i/>
              </w:rPr>
            </w:pPr>
            <w:r w:rsidRPr="00D575DC">
              <w:rPr>
                <w:i/>
              </w:rPr>
              <w:t>0.77</w:t>
            </w:r>
          </w:p>
        </w:tc>
        <w:tc>
          <w:tcPr>
            <w:tcW w:w="777" w:type="dxa"/>
            <w:shd w:val="clear" w:color="auto" w:fill="auto"/>
          </w:tcPr>
          <w:p w:rsidR="00742CFA" w:rsidRPr="00D575DC" w:rsidRDefault="00742CFA" w:rsidP="00742CFA">
            <w:pPr>
              <w:pStyle w:val="TCTableBody"/>
              <w:jc w:val="center"/>
              <w:rPr>
                <w:i/>
              </w:rPr>
            </w:pPr>
            <w:r w:rsidRPr="00D575DC">
              <w:rPr>
                <w:i/>
              </w:rPr>
              <w:t>0.65</w:t>
            </w:r>
          </w:p>
        </w:tc>
        <w:tc>
          <w:tcPr>
            <w:tcW w:w="827" w:type="dxa"/>
          </w:tcPr>
          <w:p w:rsidR="00742CFA" w:rsidRPr="00D575DC" w:rsidRDefault="00742CFA" w:rsidP="00742CFA">
            <w:pPr>
              <w:pStyle w:val="TCTableBody"/>
              <w:jc w:val="center"/>
              <w:rPr>
                <w:i/>
              </w:rPr>
            </w:pPr>
            <w:r w:rsidRPr="00D575DC">
              <w:rPr>
                <w:i/>
              </w:rPr>
              <w:t>0.64</w:t>
            </w:r>
          </w:p>
        </w:tc>
        <w:tc>
          <w:tcPr>
            <w:tcW w:w="738" w:type="dxa"/>
            <w:shd w:val="clear" w:color="auto" w:fill="auto"/>
          </w:tcPr>
          <w:p w:rsidR="00742CFA" w:rsidRPr="00D575DC" w:rsidRDefault="00742CFA" w:rsidP="00742CFA">
            <w:pPr>
              <w:pStyle w:val="TCTableBody"/>
              <w:jc w:val="center"/>
              <w:rPr>
                <w:i/>
              </w:rPr>
            </w:pPr>
            <w:r w:rsidRPr="00D575DC">
              <w:rPr>
                <w:i/>
              </w:rPr>
              <w:t>0.60</w:t>
            </w:r>
          </w:p>
        </w:tc>
        <w:tc>
          <w:tcPr>
            <w:tcW w:w="827" w:type="dxa"/>
            <w:shd w:val="clear" w:color="auto" w:fill="auto"/>
          </w:tcPr>
          <w:p w:rsidR="00742CFA" w:rsidRPr="00D575DC" w:rsidRDefault="00742CFA" w:rsidP="00742CFA">
            <w:pPr>
              <w:pStyle w:val="TCTableBody"/>
              <w:jc w:val="center"/>
              <w:rPr>
                <w:i/>
              </w:rPr>
            </w:pPr>
            <w:r w:rsidRPr="00D575DC">
              <w:rPr>
                <w:i/>
              </w:rPr>
              <w:t>0.53</w:t>
            </w:r>
          </w:p>
        </w:tc>
        <w:tc>
          <w:tcPr>
            <w:tcW w:w="847" w:type="dxa"/>
            <w:shd w:val="clear" w:color="auto" w:fill="auto"/>
          </w:tcPr>
          <w:p w:rsidR="00742CFA" w:rsidRPr="00D575DC" w:rsidRDefault="00742CFA" w:rsidP="00742CFA">
            <w:pPr>
              <w:pStyle w:val="TCTableBody"/>
              <w:jc w:val="center"/>
              <w:rPr>
                <w:i/>
              </w:rPr>
            </w:pPr>
            <w:r w:rsidRPr="00D575DC">
              <w:rPr>
                <w:i/>
              </w:rPr>
              <w:t>0.39</w:t>
            </w:r>
          </w:p>
        </w:tc>
        <w:tc>
          <w:tcPr>
            <w:tcW w:w="849" w:type="dxa"/>
            <w:shd w:val="clear" w:color="auto" w:fill="auto"/>
          </w:tcPr>
          <w:p w:rsidR="00742CFA" w:rsidRPr="00D575DC" w:rsidRDefault="00742CFA" w:rsidP="00742CFA">
            <w:pPr>
              <w:pStyle w:val="TCTableBody"/>
              <w:jc w:val="center"/>
              <w:rPr>
                <w:i/>
              </w:rPr>
            </w:pPr>
            <w:r w:rsidRPr="00D575DC">
              <w:rPr>
                <w:i/>
              </w:rPr>
              <w:t>0.32</w:t>
            </w:r>
          </w:p>
        </w:tc>
        <w:tc>
          <w:tcPr>
            <w:tcW w:w="789" w:type="dxa"/>
            <w:shd w:val="clear" w:color="auto" w:fill="auto"/>
          </w:tcPr>
          <w:p w:rsidR="00742CFA" w:rsidRPr="00D575DC" w:rsidRDefault="00742CFA" w:rsidP="00742CFA">
            <w:pPr>
              <w:pStyle w:val="TCTableBody"/>
              <w:jc w:val="center"/>
              <w:rPr>
                <w:i/>
              </w:rPr>
            </w:pPr>
            <w:r w:rsidRPr="00D575DC">
              <w:rPr>
                <w:i/>
              </w:rPr>
              <w:t>0.30</w:t>
            </w: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rPr>
                <w:i/>
              </w:rPr>
            </w:pPr>
            <w:proofErr w:type="spellStart"/>
            <w:r w:rsidRPr="00D575DC">
              <w:rPr>
                <w:i/>
              </w:rPr>
              <w:t>soly</w:t>
            </w:r>
            <w:proofErr w:type="spellEnd"/>
          </w:p>
        </w:tc>
        <w:tc>
          <w:tcPr>
            <w:tcW w:w="794" w:type="dxa"/>
            <w:shd w:val="clear" w:color="auto" w:fill="auto"/>
          </w:tcPr>
          <w:p w:rsidR="00742CFA" w:rsidRPr="00D575DC" w:rsidRDefault="00742CFA" w:rsidP="00742CFA">
            <w:pPr>
              <w:pStyle w:val="TCTableBody"/>
              <w:jc w:val="center"/>
              <w:rPr>
                <w:i/>
              </w:rPr>
            </w:pPr>
            <w:r w:rsidRPr="00D575DC">
              <w:rPr>
                <w:i/>
              </w:rPr>
              <w:t>322</w:t>
            </w:r>
          </w:p>
        </w:tc>
        <w:tc>
          <w:tcPr>
            <w:tcW w:w="838" w:type="dxa"/>
            <w:shd w:val="clear" w:color="auto" w:fill="auto"/>
          </w:tcPr>
          <w:p w:rsidR="00742CFA" w:rsidRPr="00D575DC" w:rsidRDefault="00742CFA" w:rsidP="00742CFA">
            <w:pPr>
              <w:pStyle w:val="TCTableBody"/>
              <w:jc w:val="center"/>
              <w:rPr>
                <w:i/>
              </w:rPr>
            </w:pPr>
            <w:r w:rsidRPr="00D575DC">
              <w:rPr>
                <w:i/>
              </w:rPr>
              <w:t>9221</w:t>
            </w:r>
          </w:p>
        </w:tc>
        <w:tc>
          <w:tcPr>
            <w:tcW w:w="802" w:type="dxa"/>
            <w:shd w:val="clear" w:color="auto" w:fill="auto"/>
          </w:tcPr>
          <w:p w:rsidR="00742CFA" w:rsidRPr="00D575DC" w:rsidRDefault="00742CFA" w:rsidP="00742CFA">
            <w:pPr>
              <w:pStyle w:val="TCTableBody"/>
              <w:jc w:val="center"/>
              <w:rPr>
                <w:i/>
              </w:rPr>
            </w:pPr>
            <w:r w:rsidRPr="00D575DC">
              <w:rPr>
                <w:i/>
              </w:rPr>
              <w:t>350</w:t>
            </w:r>
          </w:p>
        </w:tc>
        <w:tc>
          <w:tcPr>
            <w:tcW w:w="802" w:type="dxa"/>
            <w:shd w:val="clear" w:color="auto" w:fill="auto"/>
          </w:tcPr>
          <w:p w:rsidR="00742CFA" w:rsidRPr="00D575DC" w:rsidRDefault="00742CFA" w:rsidP="00742CFA">
            <w:pPr>
              <w:pStyle w:val="TCTableBody"/>
              <w:jc w:val="center"/>
              <w:rPr>
                <w:i/>
              </w:rPr>
            </w:pPr>
            <w:r w:rsidRPr="00D575DC">
              <w:rPr>
                <w:i/>
              </w:rPr>
              <w:t>3673</w:t>
            </w:r>
          </w:p>
        </w:tc>
        <w:tc>
          <w:tcPr>
            <w:tcW w:w="827" w:type="dxa"/>
            <w:shd w:val="clear" w:color="auto" w:fill="auto"/>
          </w:tcPr>
          <w:p w:rsidR="00742CFA" w:rsidRPr="00D575DC" w:rsidRDefault="00742CFA" w:rsidP="00742CFA">
            <w:pPr>
              <w:pStyle w:val="TCTableBody"/>
              <w:jc w:val="center"/>
              <w:rPr>
                <w:i/>
              </w:rPr>
            </w:pPr>
            <w:r w:rsidRPr="00D575DC">
              <w:rPr>
                <w:i/>
              </w:rPr>
              <w:t>244</w:t>
            </w:r>
          </w:p>
        </w:tc>
        <w:tc>
          <w:tcPr>
            <w:tcW w:w="827" w:type="dxa"/>
            <w:shd w:val="clear" w:color="auto" w:fill="auto"/>
          </w:tcPr>
          <w:p w:rsidR="00742CFA" w:rsidRPr="00D575DC" w:rsidRDefault="00742CFA" w:rsidP="00742CFA">
            <w:pPr>
              <w:pStyle w:val="TCTableBody"/>
              <w:jc w:val="center"/>
              <w:rPr>
                <w:i/>
              </w:rPr>
            </w:pPr>
            <w:r w:rsidRPr="00D575DC">
              <w:rPr>
                <w:i/>
              </w:rPr>
              <w:t>32</w:t>
            </w:r>
          </w:p>
        </w:tc>
        <w:tc>
          <w:tcPr>
            <w:tcW w:w="814" w:type="dxa"/>
            <w:shd w:val="clear" w:color="auto" w:fill="auto"/>
          </w:tcPr>
          <w:p w:rsidR="00742CFA" w:rsidRPr="00D575DC" w:rsidRDefault="00742CFA" w:rsidP="00742CFA">
            <w:pPr>
              <w:pStyle w:val="TCTableBody"/>
              <w:jc w:val="center"/>
              <w:rPr>
                <w:i/>
              </w:rPr>
            </w:pPr>
            <w:r w:rsidRPr="00D575DC">
              <w:rPr>
                <w:i/>
              </w:rPr>
              <w:t>180</w:t>
            </w:r>
          </w:p>
        </w:tc>
        <w:tc>
          <w:tcPr>
            <w:tcW w:w="789" w:type="dxa"/>
            <w:shd w:val="clear" w:color="auto" w:fill="auto"/>
          </w:tcPr>
          <w:p w:rsidR="00742CFA" w:rsidRPr="00D575DC" w:rsidRDefault="00742CFA" w:rsidP="00742CFA">
            <w:pPr>
              <w:pStyle w:val="TCTableBody"/>
              <w:jc w:val="center"/>
              <w:rPr>
                <w:i/>
              </w:rPr>
            </w:pPr>
            <w:r w:rsidRPr="00D575DC">
              <w:rPr>
                <w:i/>
              </w:rPr>
              <w:t>152</w:t>
            </w:r>
          </w:p>
        </w:tc>
        <w:tc>
          <w:tcPr>
            <w:tcW w:w="814" w:type="dxa"/>
            <w:shd w:val="clear" w:color="auto" w:fill="auto"/>
          </w:tcPr>
          <w:p w:rsidR="00742CFA" w:rsidRPr="00D575DC" w:rsidRDefault="00742CFA" w:rsidP="00742CFA">
            <w:pPr>
              <w:pStyle w:val="TCTableBody"/>
              <w:jc w:val="center"/>
              <w:rPr>
                <w:i/>
              </w:rPr>
            </w:pPr>
            <w:r w:rsidRPr="00D575DC">
              <w:rPr>
                <w:i/>
              </w:rPr>
              <w:t>49</w:t>
            </w:r>
          </w:p>
        </w:tc>
        <w:tc>
          <w:tcPr>
            <w:tcW w:w="827" w:type="dxa"/>
            <w:shd w:val="clear" w:color="auto" w:fill="auto"/>
          </w:tcPr>
          <w:p w:rsidR="00742CFA" w:rsidRPr="00D575DC" w:rsidRDefault="00742CFA" w:rsidP="00742CFA">
            <w:pPr>
              <w:pStyle w:val="TCTableBody"/>
              <w:jc w:val="center"/>
              <w:rPr>
                <w:i/>
              </w:rPr>
            </w:pPr>
            <w:r w:rsidRPr="00D575DC">
              <w:rPr>
                <w:i/>
              </w:rPr>
              <w:t>743</w:t>
            </w:r>
          </w:p>
        </w:tc>
        <w:tc>
          <w:tcPr>
            <w:tcW w:w="814" w:type="dxa"/>
            <w:shd w:val="clear" w:color="auto" w:fill="auto"/>
          </w:tcPr>
          <w:p w:rsidR="00742CFA" w:rsidRPr="00D575DC" w:rsidRDefault="00742CFA" w:rsidP="00742CFA">
            <w:pPr>
              <w:pStyle w:val="TCTableBody"/>
              <w:jc w:val="center"/>
              <w:rPr>
                <w:i/>
              </w:rPr>
            </w:pPr>
            <w:r w:rsidRPr="00D575DC">
              <w:rPr>
                <w:i/>
              </w:rPr>
              <w:t>176</w:t>
            </w:r>
          </w:p>
        </w:tc>
        <w:tc>
          <w:tcPr>
            <w:tcW w:w="777" w:type="dxa"/>
            <w:shd w:val="clear" w:color="auto" w:fill="auto"/>
          </w:tcPr>
          <w:p w:rsidR="00742CFA" w:rsidRPr="00D575DC" w:rsidRDefault="00742CFA" w:rsidP="00742CFA">
            <w:pPr>
              <w:pStyle w:val="TCTableBody"/>
              <w:jc w:val="center"/>
              <w:rPr>
                <w:i/>
              </w:rPr>
            </w:pPr>
            <w:r w:rsidRPr="00D575DC">
              <w:rPr>
                <w:i/>
              </w:rPr>
              <w:t>3405</w:t>
            </w:r>
          </w:p>
        </w:tc>
        <w:tc>
          <w:tcPr>
            <w:tcW w:w="827" w:type="dxa"/>
          </w:tcPr>
          <w:p w:rsidR="00742CFA" w:rsidRPr="00D575DC" w:rsidRDefault="00742CFA" w:rsidP="00742CFA">
            <w:pPr>
              <w:pStyle w:val="TCTableBody"/>
              <w:jc w:val="center"/>
              <w:rPr>
                <w:i/>
              </w:rPr>
            </w:pPr>
            <w:r w:rsidRPr="00D575DC">
              <w:rPr>
                <w:i/>
              </w:rPr>
              <w:t>859</w:t>
            </w:r>
          </w:p>
        </w:tc>
        <w:tc>
          <w:tcPr>
            <w:tcW w:w="738" w:type="dxa"/>
            <w:shd w:val="clear" w:color="auto" w:fill="auto"/>
          </w:tcPr>
          <w:p w:rsidR="00742CFA" w:rsidRPr="00D575DC" w:rsidRDefault="00742CFA" w:rsidP="00742CFA">
            <w:pPr>
              <w:pStyle w:val="TCTableBody"/>
              <w:jc w:val="center"/>
              <w:rPr>
                <w:i/>
              </w:rPr>
            </w:pPr>
            <w:r w:rsidRPr="00D575DC">
              <w:rPr>
                <w:i/>
              </w:rPr>
              <w:t>2447</w:t>
            </w:r>
          </w:p>
        </w:tc>
        <w:tc>
          <w:tcPr>
            <w:tcW w:w="827" w:type="dxa"/>
            <w:shd w:val="clear" w:color="auto" w:fill="auto"/>
          </w:tcPr>
          <w:p w:rsidR="00742CFA" w:rsidRPr="00D575DC" w:rsidRDefault="00742CFA" w:rsidP="00742CFA">
            <w:pPr>
              <w:pStyle w:val="TCTableBody"/>
              <w:jc w:val="center"/>
              <w:rPr>
                <w:i/>
              </w:rPr>
            </w:pPr>
            <w:r w:rsidRPr="00D575DC">
              <w:rPr>
                <w:i/>
              </w:rPr>
              <w:t>761</w:t>
            </w:r>
          </w:p>
        </w:tc>
        <w:tc>
          <w:tcPr>
            <w:tcW w:w="847" w:type="dxa"/>
            <w:shd w:val="clear" w:color="auto" w:fill="auto"/>
          </w:tcPr>
          <w:p w:rsidR="00742CFA" w:rsidRPr="00D575DC" w:rsidRDefault="00742CFA" w:rsidP="00742CFA">
            <w:pPr>
              <w:pStyle w:val="TCTableBody"/>
              <w:jc w:val="center"/>
              <w:rPr>
                <w:i/>
              </w:rPr>
            </w:pPr>
            <w:r w:rsidRPr="00D575DC">
              <w:rPr>
                <w:i/>
              </w:rPr>
              <w:t>1535</w:t>
            </w:r>
          </w:p>
        </w:tc>
        <w:tc>
          <w:tcPr>
            <w:tcW w:w="849" w:type="dxa"/>
            <w:shd w:val="clear" w:color="auto" w:fill="auto"/>
          </w:tcPr>
          <w:p w:rsidR="00742CFA" w:rsidRPr="00D575DC" w:rsidRDefault="00742CFA" w:rsidP="00742CFA">
            <w:pPr>
              <w:pStyle w:val="TCTableBody"/>
              <w:jc w:val="center"/>
              <w:rPr>
                <w:i/>
              </w:rPr>
            </w:pPr>
            <w:r w:rsidRPr="00D575DC">
              <w:rPr>
                <w:i/>
              </w:rPr>
              <w:t>253</w:t>
            </w:r>
          </w:p>
        </w:tc>
        <w:tc>
          <w:tcPr>
            <w:tcW w:w="789" w:type="dxa"/>
            <w:shd w:val="clear" w:color="auto" w:fill="auto"/>
          </w:tcPr>
          <w:p w:rsidR="00742CFA" w:rsidRPr="00D575DC" w:rsidRDefault="00742CFA" w:rsidP="00742CFA">
            <w:pPr>
              <w:pStyle w:val="TCTableBody"/>
              <w:jc w:val="center"/>
              <w:rPr>
                <w:i/>
              </w:rPr>
            </w:pPr>
            <w:r w:rsidRPr="00D575DC">
              <w:rPr>
                <w:i/>
              </w:rPr>
              <w:t>60</w:t>
            </w:r>
          </w:p>
        </w:tc>
      </w:tr>
      <w:tr w:rsidR="00742CFA" w:rsidRPr="00D575DC" w:rsidTr="00742CFA">
        <w:trPr>
          <w:gridAfter w:val="1"/>
          <w:wAfter w:w="7" w:type="dxa"/>
          <w:trHeight w:val="237"/>
          <w:jc w:val="center"/>
        </w:trPr>
        <w:tc>
          <w:tcPr>
            <w:tcW w:w="904" w:type="dxa"/>
            <w:shd w:val="clear" w:color="auto" w:fill="auto"/>
          </w:tcPr>
          <w:p w:rsidR="00742CFA" w:rsidRPr="00D575DC" w:rsidRDefault="00742CFA" w:rsidP="00742CFA">
            <w:pPr>
              <w:pStyle w:val="TCTableBody"/>
              <w:jc w:val="center"/>
            </w:pPr>
            <w:r w:rsidRPr="00D575DC">
              <w:t>303.15</w:t>
            </w:r>
          </w:p>
        </w:tc>
        <w:tc>
          <w:tcPr>
            <w:tcW w:w="794" w:type="dxa"/>
            <w:shd w:val="clear" w:color="auto" w:fill="9966FF"/>
          </w:tcPr>
          <w:p w:rsidR="00742CFA" w:rsidRPr="00D575DC" w:rsidRDefault="00742CFA" w:rsidP="00742CFA">
            <w:pPr>
              <w:pStyle w:val="TCTableBody"/>
              <w:jc w:val="center"/>
              <w:rPr>
                <w:b/>
              </w:rPr>
            </w:pPr>
            <w:r w:rsidRPr="00D575DC">
              <w:rPr>
                <w:b/>
              </w:rPr>
              <w:t>His</w:t>
            </w:r>
          </w:p>
        </w:tc>
        <w:tc>
          <w:tcPr>
            <w:tcW w:w="838" w:type="dxa"/>
            <w:shd w:val="clear" w:color="auto" w:fill="00B0F0"/>
          </w:tcPr>
          <w:p w:rsidR="00742CFA" w:rsidRPr="00D575DC" w:rsidRDefault="00742CFA" w:rsidP="00742CFA">
            <w:pPr>
              <w:pStyle w:val="TCTableBody"/>
              <w:jc w:val="center"/>
              <w:rPr>
                <w:b/>
              </w:rPr>
            </w:pPr>
            <w:r w:rsidRPr="00D575DC">
              <w:rPr>
                <w:b/>
              </w:rPr>
              <w:t>Lys</w:t>
            </w:r>
          </w:p>
        </w:tc>
        <w:tc>
          <w:tcPr>
            <w:tcW w:w="802" w:type="dxa"/>
            <w:shd w:val="clear" w:color="auto" w:fill="CCFF33"/>
          </w:tcPr>
          <w:p w:rsidR="00742CFA" w:rsidRPr="00D575DC" w:rsidRDefault="00742CFA" w:rsidP="00742CFA">
            <w:pPr>
              <w:pStyle w:val="TCTableBody"/>
              <w:jc w:val="center"/>
              <w:rPr>
                <w:b/>
              </w:rPr>
            </w:pPr>
            <w:r w:rsidRPr="00D575DC">
              <w:rPr>
                <w:b/>
              </w:rPr>
              <w:t>Met</w:t>
            </w:r>
          </w:p>
        </w:tc>
        <w:tc>
          <w:tcPr>
            <w:tcW w:w="802" w:type="dxa"/>
            <w:shd w:val="clear" w:color="auto" w:fill="FF0000"/>
          </w:tcPr>
          <w:p w:rsidR="00742CFA" w:rsidRPr="00D575DC" w:rsidRDefault="00742CFA" w:rsidP="00742CFA">
            <w:pPr>
              <w:pStyle w:val="TCTableBody"/>
              <w:jc w:val="center"/>
              <w:rPr>
                <w:b/>
              </w:rPr>
            </w:pPr>
            <w:r w:rsidRPr="00D575DC">
              <w:rPr>
                <w:b/>
              </w:rPr>
              <w:t>Asp</w:t>
            </w:r>
          </w:p>
        </w:tc>
        <w:tc>
          <w:tcPr>
            <w:tcW w:w="827" w:type="dxa"/>
            <w:shd w:val="clear" w:color="auto" w:fill="006666"/>
          </w:tcPr>
          <w:p w:rsidR="00742CFA" w:rsidRPr="00D575DC" w:rsidRDefault="00742CFA" w:rsidP="00742CFA">
            <w:pPr>
              <w:pStyle w:val="TCTableBody"/>
              <w:jc w:val="center"/>
              <w:rPr>
                <w:b/>
              </w:rPr>
            </w:pPr>
            <w:proofErr w:type="spellStart"/>
            <w:r w:rsidRPr="00D575DC">
              <w:rPr>
                <w:b/>
              </w:rPr>
              <w:t>Phe</w:t>
            </w:r>
            <w:proofErr w:type="spellEnd"/>
          </w:p>
        </w:tc>
        <w:tc>
          <w:tcPr>
            <w:tcW w:w="827" w:type="dxa"/>
            <w:shd w:val="clear" w:color="auto" w:fill="0066FF"/>
          </w:tcPr>
          <w:p w:rsidR="00742CFA" w:rsidRPr="00D575DC" w:rsidRDefault="00742CFA" w:rsidP="00742CFA">
            <w:pPr>
              <w:pStyle w:val="TCTableBody"/>
              <w:jc w:val="center"/>
              <w:rPr>
                <w:b/>
              </w:rPr>
            </w:pPr>
            <w:proofErr w:type="spellStart"/>
            <w:r w:rsidRPr="00D575DC">
              <w:rPr>
                <w:b/>
              </w:rPr>
              <w:t>Leu</w:t>
            </w:r>
            <w:proofErr w:type="spellEnd"/>
          </w:p>
        </w:tc>
        <w:tc>
          <w:tcPr>
            <w:tcW w:w="814" w:type="dxa"/>
            <w:shd w:val="clear" w:color="auto" w:fill="FF66FF"/>
          </w:tcPr>
          <w:p w:rsidR="00742CFA" w:rsidRPr="00D575DC" w:rsidRDefault="00742CFA" w:rsidP="00742CFA">
            <w:pPr>
              <w:pStyle w:val="TCTableBody"/>
              <w:jc w:val="center"/>
              <w:rPr>
                <w:b/>
              </w:rPr>
            </w:pPr>
            <w:r w:rsidRPr="00D575DC">
              <w:rPr>
                <w:b/>
              </w:rPr>
              <w:t>Val</w:t>
            </w:r>
          </w:p>
        </w:tc>
        <w:tc>
          <w:tcPr>
            <w:tcW w:w="789" w:type="dxa"/>
            <w:shd w:val="clear" w:color="auto" w:fill="6699FF"/>
          </w:tcPr>
          <w:p w:rsidR="00742CFA" w:rsidRPr="00D575DC" w:rsidRDefault="00742CFA" w:rsidP="00742CFA">
            <w:pPr>
              <w:pStyle w:val="TCTableBody"/>
              <w:jc w:val="center"/>
              <w:rPr>
                <w:b/>
              </w:rPr>
            </w:pPr>
            <w:proofErr w:type="spellStart"/>
            <w:r w:rsidRPr="00D575DC">
              <w:rPr>
                <w:b/>
              </w:rPr>
              <w:t>Glu</w:t>
            </w:r>
            <w:proofErr w:type="spellEnd"/>
          </w:p>
        </w:tc>
        <w:tc>
          <w:tcPr>
            <w:tcW w:w="814" w:type="dxa"/>
            <w:shd w:val="clear" w:color="auto" w:fill="FFCCCC"/>
          </w:tcPr>
          <w:p w:rsidR="00742CFA" w:rsidRPr="00D575DC" w:rsidRDefault="00742CFA" w:rsidP="00742CFA">
            <w:pPr>
              <w:pStyle w:val="TCTableBody"/>
              <w:jc w:val="center"/>
              <w:rPr>
                <w:b/>
              </w:rPr>
            </w:pPr>
            <w:proofErr w:type="spellStart"/>
            <w:r w:rsidRPr="00D575DC">
              <w:rPr>
                <w:b/>
              </w:rPr>
              <w:t>Gln</w:t>
            </w:r>
            <w:proofErr w:type="spellEnd"/>
          </w:p>
        </w:tc>
        <w:tc>
          <w:tcPr>
            <w:tcW w:w="827" w:type="dxa"/>
            <w:shd w:val="clear" w:color="auto" w:fill="00FFCC"/>
          </w:tcPr>
          <w:p w:rsidR="00742CFA" w:rsidRPr="00D575DC" w:rsidRDefault="00742CFA" w:rsidP="00742CFA">
            <w:pPr>
              <w:pStyle w:val="TCTableBody"/>
              <w:jc w:val="center"/>
              <w:rPr>
                <w:b/>
              </w:rPr>
            </w:pPr>
            <w:proofErr w:type="spellStart"/>
            <w:r w:rsidRPr="00D575DC">
              <w:rPr>
                <w:b/>
              </w:rPr>
              <w:t>Thr</w:t>
            </w:r>
            <w:proofErr w:type="spellEnd"/>
          </w:p>
        </w:tc>
        <w:tc>
          <w:tcPr>
            <w:tcW w:w="814" w:type="dxa"/>
            <w:shd w:val="clear" w:color="auto" w:fill="99CCFF"/>
          </w:tcPr>
          <w:p w:rsidR="00742CFA" w:rsidRPr="00D575DC" w:rsidRDefault="00742CFA" w:rsidP="00742CFA">
            <w:pPr>
              <w:pStyle w:val="TCTableBody"/>
              <w:jc w:val="center"/>
              <w:rPr>
                <w:b/>
              </w:rPr>
            </w:pPr>
            <w:proofErr w:type="spellStart"/>
            <w:r w:rsidRPr="00D575DC">
              <w:rPr>
                <w:b/>
              </w:rPr>
              <w:t>Gly</w:t>
            </w:r>
            <w:proofErr w:type="spellEnd"/>
          </w:p>
        </w:tc>
        <w:tc>
          <w:tcPr>
            <w:tcW w:w="777" w:type="dxa"/>
            <w:shd w:val="clear" w:color="auto" w:fill="99FF33"/>
          </w:tcPr>
          <w:p w:rsidR="00742CFA" w:rsidRPr="00D575DC" w:rsidRDefault="00742CFA" w:rsidP="00742CFA">
            <w:pPr>
              <w:pStyle w:val="TCTableBody"/>
              <w:jc w:val="center"/>
              <w:rPr>
                <w:b/>
              </w:rPr>
            </w:pPr>
            <w:proofErr w:type="spellStart"/>
            <w:r w:rsidRPr="00D575DC">
              <w:rPr>
                <w:b/>
              </w:rPr>
              <w:t>Asn</w:t>
            </w:r>
            <w:proofErr w:type="spellEnd"/>
          </w:p>
        </w:tc>
        <w:tc>
          <w:tcPr>
            <w:tcW w:w="827" w:type="dxa"/>
            <w:shd w:val="clear" w:color="auto" w:fill="AEAAAA"/>
          </w:tcPr>
          <w:p w:rsidR="00742CFA" w:rsidRPr="00D575DC" w:rsidRDefault="00742CFA" w:rsidP="00742CFA">
            <w:pPr>
              <w:pStyle w:val="TCTableBody"/>
              <w:jc w:val="center"/>
              <w:rPr>
                <w:b/>
              </w:rPr>
            </w:pPr>
            <w:proofErr w:type="spellStart"/>
            <w:r w:rsidRPr="00D575DC">
              <w:rPr>
                <w:b/>
              </w:rPr>
              <w:t>Trp</w:t>
            </w:r>
            <w:proofErr w:type="spellEnd"/>
          </w:p>
        </w:tc>
        <w:tc>
          <w:tcPr>
            <w:tcW w:w="738" w:type="dxa"/>
            <w:shd w:val="clear" w:color="auto" w:fill="FF9933"/>
          </w:tcPr>
          <w:p w:rsidR="00742CFA" w:rsidRPr="00D575DC" w:rsidRDefault="00742CFA" w:rsidP="00742CFA">
            <w:pPr>
              <w:pStyle w:val="TCTableBody"/>
              <w:jc w:val="center"/>
              <w:rPr>
                <w:b/>
              </w:rPr>
            </w:pPr>
            <w:proofErr w:type="spellStart"/>
            <w:r w:rsidRPr="00D575DC">
              <w:rPr>
                <w:b/>
              </w:rPr>
              <w:t>Ser</w:t>
            </w:r>
            <w:proofErr w:type="spellEnd"/>
          </w:p>
        </w:tc>
        <w:tc>
          <w:tcPr>
            <w:tcW w:w="827" w:type="dxa"/>
            <w:shd w:val="clear" w:color="auto" w:fill="CC0066"/>
          </w:tcPr>
          <w:p w:rsidR="00742CFA" w:rsidRPr="00D575DC" w:rsidRDefault="00742CFA" w:rsidP="00742CFA">
            <w:pPr>
              <w:pStyle w:val="TCTableBody"/>
              <w:jc w:val="center"/>
              <w:rPr>
                <w:b/>
              </w:rPr>
            </w:pPr>
            <w:proofErr w:type="spellStart"/>
            <w:r w:rsidRPr="00D575DC">
              <w:rPr>
                <w:b/>
              </w:rPr>
              <w:t>Arg</w:t>
            </w:r>
            <w:proofErr w:type="spellEnd"/>
          </w:p>
        </w:tc>
        <w:tc>
          <w:tcPr>
            <w:tcW w:w="847" w:type="dxa"/>
            <w:shd w:val="clear" w:color="auto" w:fill="99FF99"/>
          </w:tcPr>
          <w:p w:rsidR="00742CFA" w:rsidRPr="00D575DC" w:rsidRDefault="00742CFA" w:rsidP="00742CFA">
            <w:pPr>
              <w:pStyle w:val="TCTableBody"/>
              <w:jc w:val="center"/>
              <w:rPr>
                <w:b/>
              </w:rPr>
            </w:pPr>
            <w:r w:rsidRPr="00D575DC">
              <w:rPr>
                <w:b/>
              </w:rPr>
              <w:t>Ala</w:t>
            </w:r>
          </w:p>
        </w:tc>
        <w:tc>
          <w:tcPr>
            <w:tcW w:w="849" w:type="dxa"/>
            <w:shd w:val="clear" w:color="auto" w:fill="008000"/>
          </w:tcPr>
          <w:p w:rsidR="00742CFA" w:rsidRPr="00D575DC" w:rsidRDefault="00742CFA" w:rsidP="00742CFA">
            <w:pPr>
              <w:pStyle w:val="TCTableBody"/>
              <w:jc w:val="center"/>
              <w:rPr>
                <w:b/>
              </w:rPr>
            </w:pPr>
            <w:r w:rsidRPr="00D575DC">
              <w:rPr>
                <w:b/>
              </w:rPr>
              <w:t>Pro</w:t>
            </w:r>
          </w:p>
        </w:tc>
        <w:tc>
          <w:tcPr>
            <w:tcW w:w="789" w:type="dxa"/>
            <w:shd w:val="clear" w:color="auto" w:fill="CC6600"/>
          </w:tcPr>
          <w:p w:rsidR="00742CFA" w:rsidRPr="00D575DC" w:rsidRDefault="00742CFA" w:rsidP="00742CFA">
            <w:pPr>
              <w:pStyle w:val="TCTableBody"/>
              <w:jc w:val="center"/>
              <w:rPr>
                <w:b/>
              </w:rPr>
            </w:pPr>
            <w:r w:rsidRPr="00D575DC">
              <w:rPr>
                <w:b/>
              </w:rPr>
              <w:t>Ile</w:t>
            </w: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rPr>
                <w:i/>
              </w:rPr>
            </w:pPr>
            <w:r w:rsidRPr="00D575DC">
              <w:rPr>
                <w:i/>
              </w:rPr>
              <w:t>A</w:t>
            </w:r>
            <w:r w:rsidRPr="00D575DC">
              <w:rPr>
                <w:i/>
                <w:vertAlign w:val="subscript"/>
              </w:rPr>
              <w:t>m</w:t>
            </w:r>
          </w:p>
        </w:tc>
        <w:tc>
          <w:tcPr>
            <w:tcW w:w="794" w:type="dxa"/>
            <w:shd w:val="clear" w:color="auto" w:fill="auto"/>
          </w:tcPr>
          <w:p w:rsidR="00742CFA" w:rsidRPr="00D575DC" w:rsidRDefault="00742CFA" w:rsidP="00742CFA">
            <w:pPr>
              <w:pStyle w:val="TCTableBody"/>
              <w:jc w:val="center"/>
              <w:rPr>
                <w:i/>
              </w:rPr>
            </w:pPr>
            <w:r w:rsidRPr="00D575DC">
              <w:rPr>
                <w:i/>
              </w:rPr>
              <w:t>2.70</w:t>
            </w:r>
          </w:p>
        </w:tc>
        <w:tc>
          <w:tcPr>
            <w:tcW w:w="838" w:type="dxa"/>
            <w:shd w:val="clear" w:color="auto" w:fill="auto"/>
          </w:tcPr>
          <w:p w:rsidR="00742CFA" w:rsidRPr="00D575DC" w:rsidRDefault="00742CFA" w:rsidP="00742CFA">
            <w:pPr>
              <w:pStyle w:val="TCTableBody"/>
              <w:jc w:val="center"/>
              <w:rPr>
                <w:i/>
              </w:rPr>
            </w:pPr>
            <w:r w:rsidRPr="00D575DC">
              <w:rPr>
                <w:i/>
              </w:rPr>
              <w:t>1.83</w:t>
            </w:r>
          </w:p>
        </w:tc>
        <w:tc>
          <w:tcPr>
            <w:tcW w:w="802" w:type="dxa"/>
            <w:shd w:val="clear" w:color="auto" w:fill="auto"/>
          </w:tcPr>
          <w:p w:rsidR="00742CFA" w:rsidRPr="00D575DC" w:rsidRDefault="00742CFA" w:rsidP="00742CFA">
            <w:pPr>
              <w:pStyle w:val="TCTableBody"/>
              <w:jc w:val="center"/>
              <w:rPr>
                <w:i/>
              </w:rPr>
            </w:pPr>
            <w:r w:rsidRPr="00D575DC">
              <w:rPr>
                <w:i/>
              </w:rPr>
              <w:t>1.81</w:t>
            </w:r>
          </w:p>
        </w:tc>
        <w:tc>
          <w:tcPr>
            <w:tcW w:w="802" w:type="dxa"/>
            <w:shd w:val="clear" w:color="auto" w:fill="auto"/>
          </w:tcPr>
          <w:p w:rsidR="00742CFA" w:rsidRPr="00D575DC" w:rsidRDefault="00742CFA" w:rsidP="00742CFA">
            <w:pPr>
              <w:pStyle w:val="TCTableBody"/>
              <w:jc w:val="center"/>
              <w:rPr>
                <w:i/>
              </w:rPr>
            </w:pPr>
            <w:r w:rsidRPr="00D575DC">
              <w:rPr>
                <w:i/>
              </w:rPr>
              <w:t>1.56</w:t>
            </w:r>
          </w:p>
        </w:tc>
        <w:tc>
          <w:tcPr>
            <w:tcW w:w="827" w:type="dxa"/>
            <w:shd w:val="clear" w:color="auto" w:fill="auto"/>
          </w:tcPr>
          <w:p w:rsidR="00742CFA" w:rsidRPr="00D575DC" w:rsidRDefault="00742CFA" w:rsidP="00742CFA">
            <w:pPr>
              <w:pStyle w:val="TCTableBody"/>
              <w:jc w:val="center"/>
              <w:rPr>
                <w:i/>
              </w:rPr>
            </w:pPr>
            <w:r w:rsidRPr="00D575DC">
              <w:rPr>
                <w:i/>
              </w:rPr>
              <w:t>1.22</w:t>
            </w:r>
          </w:p>
        </w:tc>
        <w:tc>
          <w:tcPr>
            <w:tcW w:w="827" w:type="dxa"/>
            <w:shd w:val="clear" w:color="auto" w:fill="auto"/>
          </w:tcPr>
          <w:p w:rsidR="00742CFA" w:rsidRPr="00D575DC" w:rsidRDefault="00742CFA" w:rsidP="00742CFA">
            <w:pPr>
              <w:pStyle w:val="TCTableBody"/>
              <w:jc w:val="center"/>
              <w:rPr>
                <w:i/>
              </w:rPr>
            </w:pPr>
            <w:r w:rsidRPr="00D575DC">
              <w:rPr>
                <w:i/>
              </w:rPr>
              <w:t>1.01</w:t>
            </w:r>
          </w:p>
        </w:tc>
        <w:tc>
          <w:tcPr>
            <w:tcW w:w="814" w:type="dxa"/>
            <w:shd w:val="clear" w:color="auto" w:fill="auto"/>
          </w:tcPr>
          <w:p w:rsidR="00742CFA" w:rsidRPr="00D575DC" w:rsidRDefault="00742CFA" w:rsidP="00742CFA">
            <w:pPr>
              <w:pStyle w:val="TCTableBody"/>
              <w:jc w:val="center"/>
              <w:rPr>
                <w:i/>
              </w:rPr>
            </w:pPr>
            <w:r w:rsidRPr="00D575DC">
              <w:rPr>
                <w:i/>
              </w:rPr>
              <w:t>1.00</w:t>
            </w:r>
          </w:p>
        </w:tc>
        <w:tc>
          <w:tcPr>
            <w:tcW w:w="789" w:type="dxa"/>
            <w:shd w:val="clear" w:color="auto" w:fill="auto"/>
          </w:tcPr>
          <w:p w:rsidR="00742CFA" w:rsidRPr="00D575DC" w:rsidRDefault="00742CFA" w:rsidP="00742CFA">
            <w:pPr>
              <w:pStyle w:val="TCTableBody"/>
              <w:jc w:val="center"/>
              <w:rPr>
                <w:i/>
              </w:rPr>
            </w:pPr>
            <w:r w:rsidRPr="00D575DC">
              <w:rPr>
                <w:i/>
              </w:rPr>
              <w:t>0.94</w:t>
            </w:r>
          </w:p>
        </w:tc>
        <w:tc>
          <w:tcPr>
            <w:tcW w:w="814" w:type="dxa"/>
            <w:shd w:val="clear" w:color="auto" w:fill="auto"/>
          </w:tcPr>
          <w:p w:rsidR="00742CFA" w:rsidRPr="00D575DC" w:rsidRDefault="00742CFA" w:rsidP="00742CFA">
            <w:pPr>
              <w:pStyle w:val="TCTableBody"/>
              <w:jc w:val="center"/>
              <w:rPr>
                <w:i/>
              </w:rPr>
            </w:pPr>
            <w:r w:rsidRPr="00D575DC">
              <w:rPr>
                <w:i/>
              </w:rPr>
              <w:t>0.70</w:t>
            </w:r>
          </w:p>
        </w:tc>
        <w:tc>
          <w:tcPr>
            <w:tcW w:w="827" w:type="dxa"/>
            <w:shd w:val="clear" w:color="auto" w:fill="auto"/>
          </w:tcPr>
          <w:p w:rsidR="00742CFA" w:rsidRPr="00D575DC" w:rsidRDefault="00742CFA" w:rsidP="00742CFA">
            <w:pPr>
              <w:pStyle w:val="TCTableBody"/>
              <w:jc w:val="center"/>
              <w:rPr>
                <w:i/>
              </w:rPr>
            </w:pPr>
            <w:r w:rsidRPr="00D575DC">
              <w:rPr>
                <w:i/>
              </w:rPr>
              <w:t>0.69</w:t>
            </w:r>
          </w:p>
        </w:tc>
        <w:tc>
          <w:tcPr>
            <w:tcW w:w="814" w:type="dxa"/>
            <w:shd w:val="clear" w:color="auto" w:fill="auto"/>
          </w:tcPr>
          <w:p w:rsidR="00742CFA" w:rsidRPr="00D575DC" w:rsidRDefault="00742CFA" w:rsidP="00742CFA">
            <w:pPr>
              <w:pStyle w:val="TCTableBody"/>
              <w:jc w:val="center"/>
              <w:rPr>
                <w:i/>
              </w:rPr>
            </w:pPr>
            <w:r w:rsidRPr="00D575DC">
              <w:rPr>
                <w:i/>
              </w:rPr>
              <w:t>0.62</w:t>
            </w:r>
          </w:p>
        </w:tc>
        <w:tc>
          <w:tcPr>
            <w:tcW w:w="777" w:type="dxa"/>
            <w:shd w:val="clear" w:color="auto" w:fill="auto"/>
          </w:tcPr>
          <w:p w:rsidR="00742CFA" w:rsidRPr="00D575DC" w:rsidRDefault="00742CFA" w:rsidP="00742CFA">
            <w:pPr>
              <w:pStyle w:val="TCTableBody"/>
              <w:jc w:val="center"/>
              <w:rPr>
                <w:i/>
              </w:rPr>
            </w:pPr>
            <w:r w:rsidRPr="00D575DC">
              <w:rPr>
                <w:i/>
              </w:rPr>
              <w:t>0.58</w:t>
            </w:r>
          </w:p>
        </w:tc>
        <w:tc>
          <w:tcPr>
            <w:tcW w:w="827" w:type="dxa"/>
          </w:tcPr>
          <w:p w:rsidR="00742CFA" w:rsidRPr="00D575DC" w:rsidRDefault="00742CFA" w:rsidP="00742CFA">
            <w:pPr>
              <w:pStyle w:val="TCTableBody"/>
              <w:jc w:val="center"/>
              <w:rPr>
                <w:i/>
              </w:rPr>
            </w:pPr>
            <w:r w:rsidRPr="00D575DC">
              <w:rPr>
                <w:i/>
              </w:rPr>
              <w:t>0.49</w:t>
            </w:r>
          </w:p>
        </w:tc>
        <w:tc>
          <w:tcPr>
            <w:tcW w:w="738" w:type="dxa"/>
            <w:shd w:val="clear" w:color="auto" w:fill="auto"/>
          </w:tcPr>
          <w:p w:rsidR="00742CFA" w:rsidRPr="00D575DC" w:rsidRDefault="00742CFA" w:rsidP="00742CFA">
            <w:pPr>
              <w:pStyle w:val="TCTableBody"/>
              <w:jc w:val="center"/>
              <w:rPr>
                <w:i/>
              </w:rPr>
            </w:pPr>
            <w:r w:rsidRPr="00D575DC">
              <w:rPr>
                <w:i/>
              </w:rPr>
              <w:t>0.46</w:t>
            </w:r>
          </w:p>
        </w:tc>
        <w:tc>
          <w:tcPr>
            <w:tcW w:w="827" w:type="dxa"/>
            <w:shd w:val="clear" w:color="auto" w:fill="auto"/>
          </w:tcPr>
          <w:p w:rsidR="00742CFA" w:rsidRPr="00D575DC" w:rsidRDefault="00742CFA" w:rsidP="00742CFA">
            <w:pPr>
              <w:pStyle w:val="TCTableBody"/>
              <w:jc w:val="center"/>
              <w:rPr>
                <w:i/>
              </w:rPr>
            </w:pPr>
            <w:r w:rsidRPr="00D575DC">
              <w:rPr>
                <w:i/>
              </w:rPr>
              <w:t>0.45</w:t>
            </w:r>
          </w:p>
        </w:tc>
        <w:tc>
          <w:tcPr>
            <w:tcW w:w="847" w:type="dxa"/>
            <w:shd w:val="clear" w:color="auto" w:fill="auto"/>
          </w:tcPr>
          <w:p w:rsidR="00742CFA" w:rsidRPr="00D575DC" w:rsidRDefault="00742CFA" w:rsidP="00742CFA">
            <w:pPr>
              <w:pStyle w:val="TCTableBody"/>
              <w:jc w:val="center"/>
              <w:rPr>
                <w:i/>
              </w:rPr>
            </w:pPr>
            <w:r w:rsidRPr="00D575DC">
              <w:rPr>
                <w:i/>
              </w:rPr>
              <w:t>0.30</w:t>
            </w:r>
          </w:p>
        </w:tc>
        <w:tc>
          <w:tcPr>
            <w:tcW w:w="849" w:type="dxa"/>
            <w:shd w:val="clear" w:color="auto" w:fill="auto"/>
          </w:tcPr>
          <w:p w:rsidR="00742CFA" w:rsidRPr="00D575DC" w:rsidRDefault="00742CFA" w:rsidP="00742CFA">
            <w:pPr>
              <w:pStyle w:val="TCTableBody"/>
              <w:jc w:val="center"/>
              <w:rPr>
                <w:i/>
              </w:rPr>
            </w:pPr>
            <w:r w:rsidRPr="00D575DC">
              <w:rPr>
                <w:i/>
              </w:rPr>
              <w:t>0.28</w:t>
            </w:r>
          </w:p>
        </w:tc>
        <w:tc>
          <w:tcPr>
            <w:tcW w:w="789" w:type="dxa"/>
            <w:shd w:val="clear" w:color="auto" w:fill="auto"/>
          </w:tcPr>
          <w:p w:rsidR="00742CFA" w:rsidRPr="00D575DC" w:rsidRDefault="00742CFA" w:rsidP="00742CFA">
            <w:pPr>
              <w:pStyle w:val="TCTableBody"/>
              <w:jc w:val="center"/>
              <w:rPr>
                <w:i/>
              </w:rPr>
            </w:pPr>
            <w:r w:rsidRPr="00D575DC">
              <w:rPr>
                <w:i/>
              </w:rPr>
              <w:t>0.08</w:t>
            </w: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rPr>
                <w:i/>
              </w:rPr>
            </w:pPr>
            <w:proofErr w:type="spellStart"/>
            <w:r w:rsidRPr="00D575DC">
              <w:rPr>
                <w:i/>
              </w:rPr>
              <w:t>soly</w:t>
            </w:r>
            <w:proofErr w:type="spellEnd"/>
          </w:p>
        </w:tc>
        <w:tc>
          <w:tcPr>
            <w:tcW w:w="794" w:type="dxa"/>
            <w:shd w:val="clear" w:color="auto" w:fill="auto"/>
          </w:tcPr>
          <w:p w:rsidR="00742CFA" w:rsidRPr="00D575DC" w:rsidRDefault="00742CFA" w:rsidP="00742CFA">
            <w:pPr>
              <w:pStyle w:val="TCTableBody"/>
              <w:jc w:val="center"/>
              <w:rPr>
                <w:i/>
              </w:rPr>
            </w:pPr>
            <w:r w:rsidRPr="00D575DC">
              <w:rPr>
                <w:i/>
              </w:rPr>
              <w:t>386</w:t>
            </w:r>
          </w:p>
        </w:tc>
        <w:tc>
          <w:tcPr>
            <w:tcW w:w="838" w:type="dxa"/>
            <w:shd w:val="clear" w:color="auto" w:fill="auto"/>
          </w:tcPr>
          <w:p w:rsidR="00742CFA" w:rsidRPr="00D575DC" w:rsidRDefault="00742CFA" w:rsidP="00742CFA">
            <w:pPr>
              <w:pStyle w:val="TCTableBody"/>
              <w:jc w:val="center"/>
              <w:rPr>
                <w:i/>
              </w:rPr>
            </w:pPr>
            <w:r w:rsidRPr="00D575DC">
              <w:rPr>
                <w:i/>
              </w:rPr>
              <w:t>4000</w:t>
            </w:r>
          </w:p>
        </w:tc>
        <w:tc>
          <w:tcPr>
            <w:tcW w:w="802" w:type="dxa"/>
            <w:shd w:val="clear" w:color="auto" w:fill="auto"/>
          </w:tcPr>
          <w:p w:rsidR="00742CFA" w:rsidRPr="00D575DC" w:rsidRDefault="00742CFA" w:rsidP="00742CFA">
            <w:pPr>
              <w:pStyle w:val="TCTableBody"/>
              <w:jc w:val="center"/>
              <w:rPr>
                <w:i/>
              </w:rPr>
            </w:pPr>
            <w:r w:rsidRPr="00D575DC">
              <w:rPr>
                <w:i/>
              </w:rPr>
              <w:t>409</w:t>
            </w:r>
          </w:p>
        </w:tc>
        <w:tc>
          <w:tcPr>
            <w:tcW w:w="802" w:type="dxa"/>
            <w:shd w:val="clear" w:color="auto" w:fill="auto"/>
          </w:tcPr>
          <w:p w:rsidR="00742CFA" w:rsidRPr="00D575DC" w:rsidRDefault="00742CFA" w:rsidP="00742CFA">
            <w:pPr>
              <w:pStyle w:val="TCTableBody"/>
              <w:jc w:val="center"/>
              <w:rPr>
                <w:i/>
              </w:rPr>
            </w:pPr>
            <w:r w:rsidRPr="00D575DC">
              <w:rPr>
                <w:i/>
              </w:rPr>
              <w:t>46</w:t>
            </w:r>
          </w:p>
        </w:tc>
        <w:tc>
          <w:tcPr>
            <w:tcW w:w="827" w:type="dxa"/>
            <w:shd w:val="clear" w:color="auto" w:fill="auto"/>
          </w:tcPr>
          <w:p w:rsidR="00742CFA" w:rsidRPr="00D575DC" w:rsidRDefault="00742CFA" w:rsidP="00742CFA">
            <w:pPr>
              <w:pStyle w:val="TCTableBody"/>
              <w:jc w:val="center"/>
              <w:rPr>
                <w:i/>
              </w:rPr>
            </w:pPr>
            <w:r w:rsidRPr="00D575DC">
              <w:rPr>
                <w:i/>
              </w:rPr>
              <w:t>179</w:t>
            </w:r>
          </w:p>
        </w:tc>
        <w:tc>
          <w:tcPr>
            <w:tcW w:w="827" w:type="dxa"/>
            <w:shd w:val="clear" w:color="auto" w:fill="auto"/>
          </w:tcPr>
          <w:p w:rsidR="00742CFA" w:rsidRPr="00D575DC" w:rsidRDefault="00742CFA" w:rsidP="00742CFA">
            <w:pPr>
              <w:pStyle w:val="TCTableBody"/>
              <w:jc w:val="center"/>
              <w:rPr>
                <w:i/>
              </w:rPr>
            </w:pPr>
            <w:r w:rsidRPr="00D575DC">
              <w:rPr>
                <w:i/>
              </w:rPr>
              <w:t>190</w:t>
            </w:r>
          </w:p>
        </w:tc>
        <w:tc>
          <w:tcPr>
            <w:tcW w:w="814" w:type="dxa"/>
            <w:shd w:val="clear" w:color="auto" w:fill="auto"/>
          </w:tcPr>
          <w:p w:rsidR="00742CFA" w:rsidRPr="00D575DC" w:rsidRDefault="00742CFA" w:rsidP="00742CFA">
            <w:pPr>
              <w:pStyle w:val="TCTableBody"/>
              <w:jc w:val="center"/>
              <w:rPr>
                <w:i/>
              </w:rPr>
            </w:pPr>
            <w:r w:rsidRPr="00D575DC">
              <w:rPr>
                <w:i/>
              </w:rPr>
              <w:t>751</w:t>
            </w:r>
          </w:p>
        </w:tc>
        <w:tc>
          <w:tcPr>
            <w:tcW w:w="789" w:type="dxa"/>
            <w:shd w:val="clear" w:color="auto" w:fill="auto"/>
          </w:tcPr>
          <w:p w:rsidR="00742CFA" w:rsidRPr="00D575DC" w:rsidRDefault="00742CFA" w:rsidP="00742CFA">
            <w:pPr>
              <w:pStyle w:val="TCTableBody"/>
              <w:jc w:val="center"/>
              <w:rPr>
                <w:i/>
              </w:rPr>
            </w:pPr>
            <w:r w:rsidRPr="00D575DC">
              <w:rPr>
                <w:i/>
              </w:rPr>
              <w:t>67</w:t>
            </w:r>
          </w:p>
        </w:tc>
        <w:tc>
          <w:tcPr>
            <w:tcW w:w="814" w:type="dxa"/>
            <w:shd w:val="clear" w:color="auto" w:fill="auto"/>
          </w:tcPr>
          <w:p w:rsidR="00742CFA" w:rsidRPr="00D575DC" w:rsidRDefault="00742CFA" w:rsidP="00742CFA">
            <w:pPr>
              <w:pStyle w:val="TCTableBody"/>
              <w:jc w:val="center"/>
              <w:rPr>
                <w:i/>
              </w:rPr>
            </w:pPr>
            <w:r w:rsidRPr="00D575DC">
              <w:rPr>
                <w:i/>
              </w:rPr>
              <w:t>329</w:t>
            </w:r>
          </w:p>
        </w:tc>
        <w:tc>
          <w:tcPr>
            <w:tcW w:w="827" w:type="dxa"/>
            <w:shd w:val="clear" w:color="auto" w:fill="auto"/>
          </w:tcPr>
          <w:p w:rsidR="00742CFA" w:rsidRPr="00D575DC" w:rsidRDefault="00742CFA" w:rsidP="00742CFA">
            <w:pPr>
              <w:pStyle w:val="TCTableBody"/>
              <w:jc w:val="center"/>
              <w:rPr>
                <w:i/>
              </w:rPr>
            </w:pPr>
            <w:r w:rsidRPr="00D575DC">
              <w:rPr>
                <w:i/>
              </w:rPr>
              <w:t>870</w:t>
            </w:r>
          </w:p>
        </w:tc>
        <w:tc>
          <w:tcPr>
            <w:tcW w:w="814" w:type="dxa"/>
            <w:shd w:val="clear" w:color="auto" w:fill="auto"/>
          </w:tcPr>
          <w:p w:rsidR="00742CFA" w:rsidRPr="00D575DC" w:rsidRDefault="00742CFA" w:rsidP="00742CFA">
            <w:pPr>
              <w:pStyle w:val="TCTableBody"/>
              <w:jc w:val="center"/>
              <w:rPr>
                <w:i/>
              </w:rPr>
            </w:pPr>
            <w:r w:rsidRPr="00D575DC">
              <w:rPr>
                <w:i/>
              </w:rPr>
              <w:t>2832</w:t>
            </w:r>
          </w:p>
        </w:tc>
        <w:tc>
          <w:tcPr>
            <w:tcW w:w="777" w:type="dxa"/>
            <w:shd w:val="clear" w:color="auto" w:fill="auto"/>
          </w:tcPr>
          <w:p w:rsidR="00742CFA" w:rsidRPr="00D575DC" w:rsidRDefault="00742CFA" w:rsidP="00742CFA">
            <w:pPr>
              <w:pStyle w:val="TCTableBody"/>
              <w:jc w:val="center"/>
              <w:rPr>
                <w:i/>
              </w:rPr>
            </w:pPr>
            <w:r w:rsidRPr="00D575DC">
              <w:rPr>
                <w:i/>
              </w:rPr>
              <w:t>278</w:t>
            </w:r>
          </w:p>
        </w:tc>
        <w:tc>
          <w:tcPr>
            <w:tcW w:w="827" w:type="dxa"/>
          </w:tcPr>
          <w:p w:rsidR="00742CFA" w:rsidRPr="00D575DC" w:rsidRDefault="00742CFA" w:rsidP="00742CFA">
            <w:pPr>
              <w:pStyle w:val="TCTableBody"/>
              <w:jc w:val="center"/>
              <w:rPr>
                <w:i/>
              </w:rPr>
            </w:pPr>
            <w:r w:rsidRPr="00D575DC">
              <w:rPr>
                <w:i/>
              </w:rPr>
              <w:t>81</w:t>
            </w:r>
          </w:p>
        </w:tc>
        <w:tc>
          <w:tcPr>
            <w:tcW w:w="738" w:type="dxa"/>
            <w:shd w:val="clear" w:color="auto" w:fill="auto"/>
          </w:tcPr>
          <w:p w:rsidR="00742CFA" w:rsidRPr="00D575DC" w:rsidRDefault="00742CFA" w:rsidP="00742CFA">
            <w:pPr>
              <w:pStyle w:val="TCTableBody"/>
              <w:jc w:val="center"/>
              <w:rPr>
                <w:i/>
              </w:rPr>
            </w:pPr>
            <w:r w:rsidRPr="00D575DC">
              <w:rPr>
                <w:i/>
              </w:rPr>
              <w:t>4690</w:t>
            </w:r>
          </w:p>
        </w:tc>
        <w:tc>
          <w:tcPr>
            <w:tcW w:w="827" w:type="dxa"/>
            <w:shd w:val="clear" w:color="auto" w:fill="auto"/>
          </w:tcPr>
          <w:p w:rsidR="00742CFA" w:rsidRPr="00D575DC" w:rsidRDefault="00742CFA" w:rsidP="00742CFA">
            <w:pPr>
              <w:pStyle w:val="TCTableBody"/>
              <w:jc w:val="center"/>
              <w:rPr>
                <w:i/>
              </w:rPr>
            </w:pPr>
            <w:r w:rsidRPr="00D575DC">
              <w:rPr>
                <w:i/>
              </w:rPr>
              <w:t>1241</w:t>
            </w:r>
          </w:p>
        </w:tc>
        <w:tc>
          <w:tcPr>
            <w:tcW w:w="847" w:type="dxa"/>
            <w:shd w:val="clear" w:color="auto" w:fill="auto"/>
          </w:tcPr>
          <w:p w:rsidR="00742CFA" w:rsidRPr="00D575DC" w:rsidRDefault="00742CFA" w:rsidP="00742CFA">
            <w:pPr>
              <w:pStyle w:val="TCTableBody"/>
              <w:jc w:val="center"/>
              <w:rPr>
                <w:i/>
              </w:rPr>
            </w:pPr>
            <w:r w:rsidRPr="00D575DC">
              <w:rPr>
                <w:i/>
              </w:rPr>
              <w:t>1657</w:t>
            </w:r>
          </w:p>
        </w:tc>
        <w:tc>
          <w:tcPr>
            <w:tcW w:w="849" w:type="dxa"/>
            <w:shd w:val="clear" w:color="auto" w:fill="auto"/>
          </w:tcPr>
          <w:p w:rsidR="00742CFA" w:rsidRPr="00D575DC" w:rsidRDefault="00742CFA" w:rsidP="00742CFA">
            <w:pPr>
              <w:pStyle w:val="TCTableBody"/>
              <w:jc w:val="center"/>
              <w:rPr>
                <w:i/>
              </w:rPr>
            </w:pPr>
            <w:r w:rsidRPr="00D575DC">
              <w:rPr>
                <w:i/>
              </w:rPr>
              <w:t>10362</w:t>
            </w:r>
          </w:p>
        </w:tc>
        <w:tc>
          <w:tcPr>
            <w:tcW w:w="789" w:type="dxa"/>
            <w:shd w:val="clear" w:color="auto" w:fill="auto"/>
          </w:tcPr>
          <w:p w:rsidR="00742CFA" w:rsidRPr="00D575DC" w:rsidRDefault="00742CFA" w:rsidP="00742CFA">
            <w:pPr>
              <w:pStyle w:val="TCTableBody"/>
              <w:jc w:val="center"/>
              <w:rPr>
                <w:i/>
              </w:rPr>
            </w:pPr>
            <w:r w:rsidRPr="00D575DC">
              <w:rPr>
                <w:i/>
              </w:rPr>
              <w:t>269</w:t>
            </w: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pPr>
            <w:r w:rsidRPr="00D575DC">
              <w:t>313.15</w:t>
            </w:r>
          </w:p>
        </w:tc>
        <w:tc>
          <w:tcPr>
            <w:tcW w:w="794" w:type="dxa"/>
            <w:shd w:val="clear" w:color="auto" w:fill="FF0000"/>
          </w:tcPr>
          <w:p w:rsidR="00742CFA" w:rsidRPr="00D575DC" w:rsidRDefault="00742CFA" w:rsidP="00742CFA">
            <w:pPr>
              <w:pStyle w:val="TCTableBody"/>
              <w:jc w:val="center"/>
              <w:rPr>
                <w:b/>
              </w:rPr>
            </w:pPr>
            <w:r w:rsidRPr="00D575DC">
              <w:rPr>
                <w:b/>
              </w:rPr>
              <w:t>Asp</w:t>
            </w:r>
          </w:p>
        </w:tc>
        <w:tc>
          <w:tcPr>
            <w:tcW w:w="838" w:type="dxa"/>
            <w:shd w:val="clear" w:color="auto" w:fill="9966FF"/>
          </w:tcPr>
          <w:p w:rsidR="00742CFA" w:rsidRPr="00D575DC" w:rsidRDefault="00742CFA" w:rsidP="00742CFA">
            <w:pPr>
              <w:pStyle w:val="TCTableBody"/>
              <w:jc w:val="center"/>
              <w:rPr>
                <w:b/>
              </w:rPr>
            </w:pPr>
            <w:r w:rsidRPr="00D575DC">
              <w:rPr>
                <w:b/>
              </w:rPr>
              <w:t>His</w:t>
            </w:r>
          </w:p>
        </w:tc>
        <w:tc>
          <w:tcPr>
            <w:tcW w:w="802" w:type="dxa"/>
            <w:shd w:val="clear" w:color="auto" w:fill="CCFF33"/>
          </w:tcPr>
          <w:p w:rsidR="00742CFA" w:rsidRPr="00D575DC" w:rsidRDefault="00742CFA" w:rsidP="00742CFA">
            <w:pPr>
              <w:pStyle w:val="TCTableBody"/>
              <w:jc w:val="center"/>
              <w:rPr>
                <w:b/>
              </w:rPr>
            </w:pPr>
            <w:r w:rsidRPr="00D575DC">
              <w:rPr>
                <w:b/>
              </w:rPr>
              <w:t>Met</w:t>
            </w:r>
          </w:p>
        </w:tc>
        <w:tc>
          <w:tcPr>
            <w:tcW w:w="802" w:type="dxa"/>
            <w:shd w:val="clear" w:color="auto" w:fill="6699FF"/>
          </w:tcPr>
          <w:p w:rsidR="00742CFA" w:rsidRPr="00D575DC" w:rsidRDefault="00742CFA" w:rsidP="00742CFA">
            <w:pPr>
              <w:pStyle w:val="TCTableBody"/>
              <w:jc w:val="center"/>
              <w:rPr>
                <w:b/>
              </w:rPr>
            </w:pPr>
            <w:proofErr w:type="spellStart"/>
            <w:r w:rsidRPr="00D575DC">
              <w:rPr>
                <w:b/>
              </w:rPr>
              <w:t>Glu</w:t>
            </w:r>
            <w:proofErr w:type="spellEnd"/>
          </w:p>
        </w:tc>
        <w:tc>
          <w:tcPr>
            <w:tcW w:w="827" w:type="dxa"/>
            <w:shd w:val="clear" w:color="auto" w:fill="006666"/>
          </w:tcPr>
          <w:p w:rsidR="00742CFA" w:rsidRPr="00D575DC" w:rsidRDefault="00742CFA" w:rsidP="00742CFA">
            <w:pPr>
              <w:pStyle w:val="TCTableBody"/>
              <w:jc w:val="center"/>
              <w:rPr>
                <w:b/>
              </w:rPr>
            </w:pPr>
            <w:proofErr w:type="spellStart"/>
            <w:r w:rsidRPr="00D575DC">
              <w:rPr>
                <w:b/>
              </w:rPr>
              <w:t>Phe</w:t>
            </w:r>
            <w:proofErr w:type="spellEnd"/>
          </w:p>
        </w:tc>
        <w:tc>
          <w:tcPr>
            <w:tcW w:w="827" w:type="dxa"/>
            <w:shd w:val="clear" w:color="auto" w:fill="00B0F0"/>
          </w:tcPr>
          <w:p w:rsidR="00742CFA" w:rsidRPr="00D575DC" w:rsidRDefault="00742CFA" w:rsidP="00742CFA">
            <w:pPr>
              <w:pStyle w:val="TCTableBody"/>
              <w:jc w:val="center"/>
              <w:rPr>
                <w:b/>
              </w:rPr>
            </w:pPr>
            <w:r w:rsidRPr="00D575DC">
              <w:rPr>
                <w:b/>
              </w:rPr>
              <w:t>Lys</w:t>
            </w:r>
          </w:p>
        </w:tc>
        <w:tc>
          <w:tcPr>
            <w:tcW w:w="814" w:type="dxa"/>
            <w:shd w:val="clear" w:color="auto" w:fill="CC0066"/>
          </w:tcPr>
          <w:p w:rsidR="00742CFA" w:rsidRPr="00D575DC" w:rsidRDefault="00742CFA" w:rsidP="00742CFA">
            <w:pPr>
              <w:pStyle w:val="TCTableBody"/>
              <w:jc w:val="center"/>
              <w:rPr>
                <w:b/>
              </w:rPr>
            </w:pPr>
            <w:proofErr w:type="spellStart"/>
            <w:r w:rsidRPr="00D575DC">
              <w:rPr>
                <w:b/>
              </w:rPr>
              <w:t>Arg</w:t>
            </w:r>
            <w:proofErr w:type="spellEnd"/>
          </w:p>
        </w:tc>
        <w:tc>
          <w:tcPr>
            <w:tcW w:w="789" w:type="dxa"/>
            <w:shd w:val="clear" w:color="auto" w:fill="0066FF"/>
          </w:tcPr>
          <w:p w:rsidR="00742CFA" w:rsidRPr="00D575DC" w:rsidRDefault="00742CFA" w:rsidP="00742CFA">
            <w:pPr>
              <w:pStyle w:val="TCTableBody"/>
              <w:jc w:val="center"/>
              <w:rPr>
                <w:b/>
              </w:rPr>
            </w:pPr>
            <w:proofErr w:type="spellStart"/>
            <w:r w:rsidRPr="00D575DC">
              <w:rPr>
                <w:b/>
              </w:rPr>
              <w:t>Leu</w:t>
            </w:r>
            <w:proofErr w:type="spellEnd"/>
          </w:p>
        </w:tc>
        <w:tc>
          <w:tcPr>
            <w:tcW w:w="814" w:type="dxa"/>
            <w:shd w:val="clear" w:color="auto" w:fill="FFCCCC"/>
          </w:tcPr>
          <w:p w:rsidR="00742CFA" w:rsidRPr="00D575DC" w:rsidRDefault="00742CFA" w:rsidP="00742CFA">
            <w:pPr>
              <w:pStyle w:val="TCTableBody"/>
              <w:jc w:val="center"/>
              <w:rPr>
                <w:b/>
              </w:rPr>
            </w:pPr>
            <w:proofErr w:type="spellStart"/>
            <w:r w:rsidRPr="00D575DC">
              <w:rPr>
                <w:b/>
              </w:rPr>
              <w:t>Gln</w:t>
            </w:r>
            <w:proofErr w:type="spellEnd"/>
          </w:p>
        </w:tc>
        <w:tc>
          <w:tcPr>
            <w:tcW w:w="827" w:type="dxa"/>
            <w:shd w:val="clear" w:color="auto" w:fill="99CCFF"/>
          </w:tcPr>
          <w:p w:rsidR="00742CFA" w:rsidRPr="00D575DC" w:rsidRDefault="00742CFA" w:rsidP="00742CFA">
            <w:pPr>
              <w:pStyle w:val="TCTableBody"/>
              <w:jc w:val="center"/>
              <w:rPr>
                <w:b/>
              </w:rPr>
            </w:pPr>
            <w:proofErr w:type="spellStart"/>
            <w:r w:rsidRPr="00D575DC">
              <w:rPr>
                <w:b/>
              </w:rPr>
              <w:t>Gly</w:t>
            </w:r>
            <w:proofErr w:type="spellEnd"/>
          </w:p>
        </w:tc>
        <w:tc>
          <w:tcPr>
            <w:tcW w:w="814" w:type="dxa"/>
            <w:shd w:val="clear" w:color="auto" w:fill="FF66FF"/>
          </w:tcPr>
          <w:p w:rsidR="00742CFA" w:rsidRPr="00D575DC" w:rsidRDefault="00742CFA" w:rsidP="00742CFA">
            <w:pPr>
              <w:pStyle w:val="TCTableBody"/>
              <w:jc w:val="center"/>
              <w:rPr>
                <w:b/>
              </w:rPr>
            </w:pPr>
            <w:r w:rsidRPr="00D575DC">
              <w:rPr>
                <w:b/>
              </w:rPr>
              <w:t>Val</w:t>
            </w:r>
          </w:p>
        </w:tc>
        <w:tc>
          <w:tcPr>
            <w:tcW w:w="777" w:type="dxa"/>
            <w:shd w:val="clear" w:color="auto" w:fill="FF9933"/>
          </w:tcPr>
          <w:p w:rsidR="00742CFA" w:rsidRPr="00D575DC" w:rsidRDefault="00742CFA" w:rsidP="00742CFA">
            <w:pPr>
              <w:pStyle w:val="TCTableBody"/>
              <w:jc w:val="center"/>
              <w:rPr>
                <w:b/>
              </w:rPr>
            </w:pPr>
            <w:proofErr w:type="spellStart"/>
            <w:r w:rsidRPr="00D575DC">
              <w:rPr>
                <w:b/>
              </w:rPr>
              <w:t>Ser</w:t>
            </w:r>
            <w:proofErr w:type="spellEnd"/>
          </w:p>
        </w:tc>
        <w:tc>
          <w:tcPr>
            <w:tcW w:w="827" w:type="dxa"/>
            <w:shd w:val="clear" w:color="auto" w:fill="99FF33"/>
          </w:tcPr>
          <w:p w:rsidR="00742CFA" w:rsidRPr="00D575DC" w:rsidRDefault="00742CFA" w:rsidP="00742CFA">
            <w:pPr>
              <w:pStyle w:val="TCTableBody"/>
              <w:jc w:val="center"/>
              <w:rPr>
                <w:b/>
              </w:rPr>
            </w:pPr>
            <w:proofErr w:type="spellStart"/>
            <w:r w:rsidRPr="00D575DC">
              <w:rPr>
                <w:b/>
              </w:rPr>
              <w:t>Asn</w:t>
            </w:r>
            <w:proofErr w:type="spellEnd"/>
          </w:p>
        </w:tc>
        <w:tc>
          <w:tcPr>
            <w:tcW w:w="738" w:type="dxa"/>
            <w:shd w:val="clear" w:color="auto" w:fill="00FFCC"/>
          </w:tcPr>
          <w:p w:rsidR="00742CFA" w:rsidRPr="00D575DC" w:rsidRDefault="00742CFA" w:rsidP="00742CFA">
            <w:pPr>
              <w:pStyle w:val="TCTableBody"/>
              <w:jc w:val="center"/>
              <w:rPr>
                <w:b/>
              </w:rPr>
            </w:pPr>
            <w:proofErr w:type="spellStart"/>
            <w:r w:rsidRPr="00D575DC">
              <w:rPr>
                <w:b/>
              </w:rPr>
              <w:t>Thr</w:t>
            </w:r>
            <w:proofErr w:type="spellEnd"/>
          </w:p>
        </w:tc>
        <w:tc>
          <w:tcPr>
            <w:tcW w:w="827" w:type="dxa"/>
            <w:shd w:val="clear" w:color="auto" w:fill="99FF99"/>
          </w:tcPr>
          <w:p w:rsidR="00742CFA" w:rsidRPr="00D575DC" w:rsidRDefault="00742CFA" w:rsidP="00742CFA">
            <w:pPr>
              <w:pStyle w:val="TCTableBody"/>
              <w:jc w:val="center"/>
              <w:rPr>
                <w:b/>
              </w:rPr>
            </w:pPr>
            <w:r w:rsidRPr="00D575DC">
              <w:rPr>
                <w:b/>
              </w:rPr>
              <w:t>Ala</w:t>
            </w:r>
          </w:p>
        </w:tc>
        <w:tc>
          <w:tcPr>
            <w:tcW w:w="847" w:type="dxa"/>
            <w:shd w:val="clear" w:color="auto" w:fill="008000"/>
          </w:tcPr>
          <w:p w:rsidR="00742CFA" w:rsidRPr="00D575DC" w:rsidRDefault="00742CFA" w:rsidP="00742CFA">
            <w:pPr>
              <w:pStyle w:val="TCTableBody"/>
              <w:jc w:val="center"/>
              <w:rPr>
                <w:b/>
              </w:rPr>
            </w:pPr>
            <w:r w:rsidRPr="00D575DC">
              <w:rPr>
                <w:b/>
              </w:rPr>
              <w:t>Pro</w:t>
            </w:r>
          </w:p>
        </w:tc>
        <w:tc>
          <w:tcPr>
            <w:tcW w:w="849" w:type="dxa"/>
            <w:shd w:val="clear" w:color="auto" w:fill="FFFFFF"/>
          </w:tcPr>
          <w:p w:rsidR="00742CFA" w:rsidRPr="00D575DC" w:rsidRDefault="00742CFA" w:rsidP="00742CFA">
            <w:pPr>
              <w:pStyle w:val="TCTableBody"/>
              <w:jc w:val="center"/>
            </w:pPr>
          </w:p>
        </w:tc>
        <w:tc>
          <w:tcPr>
            <w:tcW w:w="789" w:type="dxa"/>
            <w:shd w:val="clear" w:color="auto" w:fill="auto"/>
          </w:tcPr>
          <w:p w:rsidR="00742CFA" w:rsidRPr="00D575DC" w:rsidRDefault="00742CFA" w:rsidP="00742CFA">
            <w:pPr>
              <w:pStyle w:val="TCTableBody"/>
              <w:jc w:val="center"/>
            </w:pPr>
          </w:p>
        </w:tc>
      </w:tr>
      <w:tr w:rsidR="00742CFA" w:rsidRPr="00D575DC" w:rsidTr="00742CFA">
        <w:trPr>
          <w:gridAfter w:val="1"/>
          <w:wAfter w:w="7" w:type="dxa"/>
          <w:trHeight w:val="277"/>
          <w:jc w:val="center"/>
        </w:trPr>
        <w:tc>
          <w:tcPr>
            <w:tcW w:w="904" w:type="dxa"/>
            <w:shd w:val="clear" w:color="auto" w:fill="auto"/>
          </w:tcPr>
          <w:p w:rsidR="00742CFA" w:rsidRPr="00D575DC" w:rsidRDefault="00742CFA" w:rsidP="00742CFA">
            <w:pPr>
              <w:pStyle w:val="TCTableBody"/>
              <w:jc w:val="center"/>
              <w:rPr>
                <w:i/>
              </w:rPr>
            </w:pPr>
            <w:r w:rsidRPr="00D575DC">
              <w:rPr>
                <w:i/>
              </w:rPr>
              <w:t>A</w:t>
            </w:r>
            <w:r w:rsidRPr="00D575DC">
              <w:rPr>
                <w:i/>
                <w:vertAlign w:val="subscript"/>
              </w:rPr>
              <w:t>m</w:t>
            </w:r>
          </w:p>
        </w:tc>
        <w:tc>
          <w:tcPr>
            <w:tcW w:w="794" w:type="dxa"/>
            <w:shd w:val="clear" w:color="auto" w:fill="auto"/>
          </w:tcPr>
          <w:p w:rsidR="00742CFA" w:rsidRPr="00D575DC" w:rsidRDefault="00742CFA" w:rsidP="00742CFA">
            <w:pPr>
              <w:pStyle w:val="TCTableBody"/>
              <w:jc w:val="center"/>
              <w:rPr>
                <w:i/>
              </w:rPr>
            </w:pPr>
            <w:r w:rsidRPr="00D575DC">
              <w:rPr>
                <w:i/>
              </w:rPr>
              <w:t>2.01</w:t>
            </w:r>
          </w:p>
        </w:tc>
        <w:tc>
          <w:tcPr>
            <w:tcW w:w="838" w:type="dxa"/>
            <w:shd w:val="clear" w:color="auto" w:fill="auto"/>
          </w:tcPr>
          <w:p w:rsidR="00742CFA" w:rsidRPr="00D575DC" w:rsidRDefault="00742CFA" w:rsidP="00742CFA">
            <w:pPr>
              <w:pStyle w:val="TCTableBody"/>
              <w:jc w:val="center"/>
              <w:rPr>
                <w:i/>
              </w:rPr>
            </w:pPr>
            <w:r w:rsidRPr="00D575DC">
              <w:rPr>
                <w:i/>
              </w:rPr>
              <w:t>1.71</w:t>
            </w:r>
          </w:p>
        </w:tc>
        <w:tc>
          <w:tcPr>
            <w:tcW w:w="802" w:type="dxa"/>
            <w:shd w:val="clear" w:color="auto" w:fill="auto"/>
          </w:tcPr>
          <w:p w:rsidR="00742CFA" w:rsidRPr="00D575DC" w:rsidRDefault="00742CFA" w:rsidP="00742CFA">
            <w:pPr>
              <w:pStyle w:val="TCTableBody"/>
              <w:jc w:val="center"/>
              <w:rPr>
                <w:i/>
              </w:rPr>
            </w:pPr>
            <w:r w:rsidRPr="00D575DC">
              <w:rPr>
                <w:i/>
              </w:rPr>
              <w:t>1.01</w:t>
            </w:r>
          </w:p>
        </w:tc>
        <w:tc>
          <w:tcPr>
            <w:tcW w:w="802" w:type="dxa"/>
            <w:shd w:val="clear" w:color="auto" w:fill="auto"/>
          </w:tcPr>
          <w:p w:rsidR="00742CFA" w:rsidRPr="00D575DC" w:rsidRDefault="00742CFA" w:rsidP="00742CFA">
            <w:pPr>
              <w:pStyle w:val="TCTableBody"/>
              <w:jc w:val="center"/>
              <w:rPr>
                <w:i/>
              </w:rPr>
            </w:pPr>
            <w:r w:rsidRPr="00D575DC">
              <w:rPr>
                <w:i/>
              </w:rPr>
              <w:t>0.97</w:t>
            </w:r>
          </w:p>
        </w:tc>
        <w:tc>
          <w:tcPr>
            <w:tcW w:w="827" w:type="dxa"/>
            <w:shd w:val="clear" w:color="auto" w:fill="auto"/>
          </w:tcPr>
          <w:p w:rsidR="00742CFA" w:rsidRPr="00D575DC" w:rsidRDefault="00742CFA" w:rsidP="00742CFA">
            <w:pPr>
              <w:pStyle w:val="TCTableBody"/>
              <w:jc w:val="center"/>
              <w:rPr>
                <w:i/>
              </w:rPr>
            </w:pPr>
            <w:r w:rsidRPr="00D575DC">
              <w:rPr>
                <w:i/>
              </w:rPr>
              <w:t>0.93</w:t>
            </w:r>
          </w:p>
        </w:tc>
        <w:tc>
          <w:tcPr>
            <w:tcW w:w="827" w:type="dxa"/>
            <w:shd w:val="clear" w:color="auto" w:fill="auto"/>
          </w:tcPr>
          <w:p w:rsidR="00742CFA" w:rsidRPr="00D575DC" w:rsidRDefault="00742CFA" w:rsidP="00742CFA">
            <w:pPr>
              <w:pStyle w:val="TCTableBody"/>
              <w:jc w:val="center"/>
              <w:rPr>
                <w:i/>
              </w:rPr>
            </w:pPr>
            <w:r w:rsidRPr="00D575DC">
              <w:rPr>
                <w:i/>
              </w:rPr>
              <w:t>0.86</w:t>
            </w:r>
          </w:p>
        </w:tc>
        <w:tc>
          <w:tcPr>
            <w:tcW w:w="814" w:type="dxa"/>
            <w:shd w:val="clear" w:color="auto" w:fill="auto"/>
          </w:tcPr>
          <w:p w:rsidR="00742CFA" w:rsidRPr="00D575DC" w:rsidRDefault="00742CFA" w:rsidP="00742CFA">
            <w:pPr>
              <w:pStyle w:val="TCTableBody"/>
              <w:jc w:val="center"/>
              <w:rPr>
                <w:i/>
              </w:rPr>
            </w:pPr>
            <w:r w:rsidRPr="00D575DC">
              <w:rPr>
                <w:i/>
              </w:rPr>
              <w:t>0.80</w:t>
            </w:r>
          </w:p>
        </w:tc>
        <w:tc>
          <w:tcPr>
            <w:tcW w:w="789" w:type="dxa"/>
            <w:shd w:val="clear" w:color="auto" w:fill="auto"/>
          </w:tcPr>
          <w:p w:rsidR="00742CFA" w:rsidRPr="00D575DC" w:rsidRDefault="00742CFA" w:rsidP="00742CFA">
            <w:pPr>
              <w:pStyle w:val="TCTableBody"/>
              <w:jc w:val="center"/>
              <w:rPr>
                <w:i/>
              </w:rPr>
            </w:pPr>
            <w:r w:rsidRPr="00D575DC">
              <w:rPr>
                <w:i/>
              </w:rPr>
              <w:t>0.77</w:t>
            </w:r>
          </w:p>
        </w:tc>
        <w:tc>
          <w:tcPr>
            <w:tcW w:w="814" w:type="dxa"/>
            <w:shd w:val="clear" w:color="auto" w:fill="auto"/>
          </w:tcPr>
          <w:p w:rsidR="00742CFA" w:rsidRPr="00D575DC" w:rsidRDefault="00742CFA" w:rsidP="00742CFA">
            <w:pPr>
              <w:pStyle w:val="TCTableBody"/>
              <w:jc w:val="center"/>
              <w:rPr>
                <w:i/>
              </w:rPr>
            </w:pPr>
            <w:r w:rsidRPr="00D575DC">
              <w:rPr>
                <w:i/>
              </w:rPr>
              <w:t>0.61</w:t>
            </w:r>
          </w:p>
        </w:tc>
        <w:tc>
          <w:tcPr>
            <w:tcW w:w="827" w:type="dxa"/>
            <w:shd w:val="clear" w:color="auto" w:fill="auto"/>
          </w:tcPr>
          <w:p w:rsidR="00742CFA" w:rsidRPr="00D575DC" w:rsidRDefault="00742CFA" w:rsidP="00742CFA">
            <w:pPr>
              <w:pStyle w:val="TCTableBody"/>
              <w:jc w:val="center"/>
              <w:rPr>
                <w:i/>
              </w:rPr>
            </w:pPr>
            <w:r w:rsidRPr="00D575DC">
              <w:rPr>
                <w:i/>
              </w:rPr>
              <w:t>0.49</w:t>
            </w:r>
          </w:p>
        </w:tc>
        <w:tc>
          <w:tcPr>
            <w:tcW w:w="814" w:type="dxa"/>
            <w:shd w:val="clear" w:color="auto" w:fill="auto"/>
          </w:tcPr>
          <w:p w:rsidR="00742CFA" w:rsidRPr="00D575DC" w:rsidRDefault="00742CFA" w:rsidP="00742CFA">
            <w:pPr>
              <w:pStyle w:val="TCTableBody"/>
              <w:jc w:val="center"/>
              <w:rPr>
                <w:i/>
              </w:rPr>
            </w:pPr>
            <w:r w:rsidRPr="00D575DC">
              <w:rPr>
                <w:i/>
              </w:rPr>
              <w:t>0.39</w:t>
            </w:r>
          </w:p>
        </w:tc>
        <w:tc>
          <w:tcPr>
            <w:tcW w:w="777" w:type="dxa"/>
            <w:shd w:val="clear" w:color="auto" w:fill="auto"/>
          </w:tcPr>
          <w:p w:rsidR="00742CFA" w:rsidRPr="00D575DC" w:rsidRDefault="00742CFA" w:rsidP="00742CFA">
            <w:pPr>
              <w:pStyle w:val="TCTableBody"/>
              <w:jc w:val="center"/>
              <w:rPr>
                <w:i/>
              </w:rPr>
            </w:pPr>
            <w:r w:rsidRPr="00D575DC">
              <w:rPr>
                <w:i/>
              </w:rPr>
              <w:t>0.38</w:t>
            </w:r>
          </w:p>
        </w:tc>
        <w:tc>
          <w:tcPr>
            <w:tcW w:w="827" w:type="dxa"/>
          </w:tcPr>
          <w:p w:rsidR="00742CFA" w:rsidRPr="00D575DC" w:rsidRDefault="00742CFA" w:rsidP="00742CFA">
            <w:pPr>
              <w:pStyle w:val="TCTableBody"/>
              <w:jc w:val="center"/>
              <w:rPr>
                <w:i/>
              </w:rPr>
            </w:pPr>
            <w:r w:rsidRPr="00D575DC">
              <w:rPr>
                <w:i/>
              </w:rPr>
              <w:t>0.33</w:t>
            </w:r>
          </w:p>
        </w:tc>
        <w:tc>
          <w:tcPr>
            <w:tcW w:w="738" w:type="dxa"/>
            <w:shd w:val="clear" w:color="auto" w:fill="auto"/>
          </w:tcPr>
          <w:p w:rsidR="00742CFA" w:rsidRPr="00D575DC" w:rsidRDefault="00742CFA" w:rsidP="00742CFA">
            <w:pPr>
              <w:pStyle w:val="TCTableBody"/>
              <w:jc w:val="center"/>
              <w:rPr>
                <w:i/>
              </w:rPr>
            </w:pPr>
            <w:r w:rsidRPr="00D575DC">
              <w:rPr>
                <w:i/>
              </w:rPr>
              <w:t>0.26</w:t>
            </w:r>
          </w:p>
        </w:tc>
        <w:tc>
          <w:tcPr>
            <w:tcW w:w="827" w:type="dxa"/>
            <w:shd w:val="clear" w:color="auto" w:fill="auto"/>
          </w:tcPr>
          <w:p w:rsidR="00742CFA" w:rsidRPr="00D575DC" w:rsidRDefault="00742CFA" w:rsidP="00742CFA">
            <w:pPr>
              <w:pStyle w:val="TCTableBody"/>
              <w:jc w:val="center"/>
              <w:rPr>
                <w:i/>
              </w:rPr>
            </w:pPr>
            <w:r w:rsidRPr="00D575DC">
              <w:rPr>
                <w:i/>
              </w:rPr>
              <w:t>0.25</w:t>
            </w:r>
          </w:p>
        </w:tc>
        <w:tc>
          <w:tcPr>
            <w:tcW w:w="847" w:type="dxa"/>
            <w:shd w:val="clear" w:color="auto" w:fill="auto"/>
          </w:tcPr>
          <w:p w:rsidR="00742CFA" w:rsidRPr="00D575DC" w:rsidRDefault="00742CFA" w:rsidP="00742CFA">
            <w:pPr>
              <w:pStyle w:val="TCTableBody"/>
              <w:jc w:val="center"/>
              <w:rPr>
                <w:i/>
              </w:rPr>
            </w:pPr>
            <w:r w:rsidRPr="00D575DC">
              <w:rPr>
                <w:i/>
              </w:rPr>
              <w:t>0.03</w:t>
            </w:r>
          </w:p>
        </w:tc>
        <w:tc>
          <w:tcPr>
            <w:tcW w:w="849" w:type="dxa"/>
            <w:shd w:val="clear" w:color="auto" w:fill="auto"/>
          </w:tcPr>
          <w:p w:rsidR="00742CFA" w:rsidRPr="00D575DC" w:rsidRDefault="00742CFA" w:rsidP="00742CFA">
            <w:pPr>
              <w:pStyle w:val="TCTableBody"/>
              <w:jc w:val="center"/>
              <w:rPr>
                <w:i/>
              </w:rPr>
            </w:pPr>
          </w:p>
        </w:tc>
        <w:tc>
          <w:tcPr>
            <w:tcW w:w="789" w:type="dxa"/>
            <w:shd w:val="clear" w:color="auto" w:fill="auto"/>
          </w:tcPr>
          <w:p w:rsidR="00742CFA" w:rsidRPr="00D575DC" w:rsidRDefault="00742CFA" w:rsidP="00742CFA">
            <w:pPr>
              <w:pStyle w:val="TCTableBody"/>
              <w:jc w:val="center"/>
              <w:rPr>
                <w:i/>
              </w:rPr>
            </w:pPr>
          </w:p>
        </w:tc>
      </w:tr>
      <w:tr w:rsidR="00742CFA" w:rsidRPr="00D575DC" w:rsidTr="00742CFA">
        <w:trPr>
          <w:gridAfter w:val="1"/>
          <w:wAfter w:w="7" w:type="dxa"/>
          <w:trHeight w:val="277"/>
          <w:jc w:val="center"/>
        </w:trPr>
        <w:tc>
          <w:tcPr>
            <w:tcW w:w="904" w:type="dxa"/>
            <w:tcBorders>
              <w:bottom w:val="single" w:sz="4" w:space="0" w:color="auto"/>
            </w:tcBorders>
            <w:shd w:val="clear" w:color="auto" w:fill="auto"/>
          </w:tcPr>
          <w:p w:rsidR="00742CFA" w:rsidRPr="00D575DC" w:rsidRDefault="00742CFA" w:rsidP="00742CFA">
            <w:pPr>
              <w:pStyle w:val="TCTableBody"/>
              <w:jc w:val="center"/>
              <w:rPr>
                <w:i/>
              </w:rPr>
            </w:pPr>
            <w:proofErr w:type="spellStart"/>
            <w:r w:rsidRPr="00D575DC">
              <w:rPr>
                <w:i/>
              </w:rPr>
              <w:t>soly</w:t>
            </w:r>
            <w:proofErr w:type="spellEnd"/>
          </w:p>
        </w:tc>
        <w:tc>
          <w:tcPr>
            <w:tcW w:w="794"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64</w:t>
            </w:r>
          </w:p>
        </w:tc>
        <w:tc>
          <w:tcPr>
            <w:tcW w:w="838"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450</w:t>
            </w:r>
          </w:p>
        </w:tc>
        <w:tc>
          <w:tcPr>
            <w:tcW w:w="802"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523</w:t>
            </w:r>
          </w:p>
        </w:tc>
        <w:tc>
          <w:tcPr>
            <w:tcW w:w="802"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100</w:t>
            </w:r>
          </w:p>
        </w:tc>
        <w:tc>
          <w:tcPr>
            <w:tcW w:w="827"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219</w:t>
            </w:r>
          </w:p>
        </w:tc>
        <w:tc>
          <w:tcPr>
            <w:tcW w:w="827"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4289</w:t>
            </w:r>
          </w:p>
        </w:tc>
        <w:tc>
          <w:tcPr>
            <w:tcW w:w="814"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2586</w:t>
            </w:r>
          </w:p>
        </w:tc>
        <w:tc>
          <w:tcPr>
            <w:tcW w:w="789"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200</w:t>
            </w:r>
          </w:p>
        </w:tc>
        <w:tc>
          <w:tcPr>
            <w:tcW w:w="814"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392</w:t>
            </w:r>
          </w:p>
        </w:tc>
        <w:tc>
          <w:tcPr>
            <w:tcW w:w="827"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3305</w:t>
            </w:r>
          </w:p>
        </w:tc>
        <w:tc>
          <w:tcPr>
            <w:tcW w:w="814"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768</w:t>
            </w:r>
          </w:p>
        </w:tc>
        <w:tc>
          <w:tcPr>
            <w:tcW w:w="777"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5633</w:t>
            </w:r>
          </w:p>
        </w:tc>
        <w:tc>
          <w:tcPr>
            <w:tcW w:w="827" w:type="dxa"/>
            <w:tcBorders>
              <w:bottom w:val="single" w:sz="4" w:space="0" w:color="auto"/>
            </w:tcBorders>
          </w:tcPr>
          <w:p w:rsidR="00742CFA" w:rsidRPr="00D575DC" w:rsidRDefault="00742CFA" w:rsidP="00742CFA">
            <w:pPr>
              <w:pStyle w:val="TCTableBody"/>
              <w:jc w:val="center"/>
              <w:rPr>
                <w:i/>
              </w:rPr>
            </w:pPr>
            <w:r w:rsidRPr="00D575DC">
              <w:rPr>
                <w:i/>
              </w:rPr>
              <w:t>449</w:t>
            </w:r>
          </w:p>
        </w:tc>
        <w:tc>
          <w:tcPr>
            <w:tcW w:w="738"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945</w:t>
            </w:r>
          </w:p>
        </w:tc>
        <w:tc>
          <w:tcPr>
            <w:tcW w:w="827"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1816</w:t>
            </w:r>
          </w:p>
        </w:tc>
        <w:tc>
          <w:tcPr>
            <w:tcW w:w="847" w:type="dxa"/>
            <w:tcBorders>
              <w:bottom w:val="single" w:sz="4" w:space="0" w:color="auto"/>
            </w:tcBorders>
            <w:shd w:val="clear" w:color="auto" w:fill="auto"/>
          </w:tcPr>
          <w:p w:rsidR="00742CFA" w:rsidRPr="00D575DC" w:rsidRDefault="00742CFA" w:rsidP="00742CFA">
            <w:pPr>
              <w:pStyle w:val="TCTableBody"/>
              <w:jc w:val="center"/>
              <w:rPr>
                <w:i/>
              </w:rPr>
            </w:pPr>
            <w:r w:rsidRPr="00D575DC">
              <w:rPr>
                <w:i/>
              </w:rPr>
              <w:t>11438</w:t>
            </w:r>
          </w:p>
        </w:tc>
        <w:tc>
          <w:tcPr>
            <w:tcW w:w="849" w:type="dxa"/>
            <w:tcBorders>
              <w:bottom w:val="single" w:sz="4" w:space="0" w:color="auto"/>
            </w:tcBorders>
            <w:shd w:val="clear" w:color="auto" w:fill="auto"/>
          </w:tcPr>
          <w:p w:rsidR="00742CFA" w:rsidRPr="00D575DC" w:rsidRDefault="00742CFA" w:rsidP="00742CFA">
            <w:pPr>
              <w:pStyle w:val="TCTableBody"/>
              <w:jc w:val="center"/>
              <w:rPr>
                <w:i/>
              </w:rPr>
            </w:pPr>
          </w:p>
        </w:tc>
        <w:tc>
          <w:tcPr>
            <w:tcW w:w="789" w:type="dxa"/>
            <w:tcBorders>
              <w:bottom w:val="single" w:sz="4" w:space="0" w:color="auto"/>
            </w:tcBorders>
            <w:shd w:val="clear" w:color="auto" w:fill="auto"/>
          </w:tcPr>
          <w:p w:rsidR="00742CFA" w:rsidRPr="00D575DC" w:rsidRDefault="00742CFA" w:rsidP="00742CFA">
            <w:pPr>
              <w:pStyle w:val="TCTableBody"/>
              <w:jc w:val="center"/>
              <w:rPr>
                <w:i/>
              </w:rPr>
            </w:pPr>
          </w:p>
        </w:tc>
      </w:tr>
    </w:tbl>
    <w:p w:rsidR="00742CFA" w:rsidRDefault="00742CFA" w:rsidP="000673AA">
      <w:pPr>
        <w:pStyle w:val="FETableFootnote"/>
        <w:sectPr w:rsidR="00742CFA" w:rsidSect="00742CFA">
          <w:type w:val="continuous"/>
          <w:pgSz w:w="15840" w:h="12240" w:orient="landscape"/>
          <w:pgMar w:top="1440" w:right="1440" w:bottom="1440" w:left="1440" w:header="0" w:footer="0" w:gutter="0"/>
          <w:cols w:space="475"/>
          <w:docGrid w:linePitch="326"/>
        </w:sectPr>
      </w:pPr>
      <w:proofErr w:type="gramStart"/>
      <w:r w:rsidRPr="00742CFA">
        <w:rPr>
          <w:i/>
        </w:rPr>
        <w:t>A</w:t>
      </w:r>
      <w:r w:rsidRPr="00742CFA">
        <w:rPr>
          <w:i/>
          <w:vertAlign w:val="subscript"/>
        </w:rPr>
        <w:t>m</w:t>
      </w:r>
      <w:r w:rsidR="005862FD">
        <w:t xml:space="preserve"> is</w:t>
      </w:r>
      <w:proofErr w:type="gramEnd"/>
      <w:r w:rsidR="005862FD">
        <w:t xml:space="preserve"> the saturation, </w:t>
      </w:r>
      <w:proofErr w:type="spellStart"/>
      <w:r w:rsidR="005862FD" w:rsidRPr="00F20185">
        <w:t>mmol</w:t>
      </w:r>
      <w:proofErr w:type="spellEnd"/>
      <w:r w:rsidRPr="00F20185">
        <w:t>/g</w:t>
      </w:r>
      <w:r w:rsidRPr="00742CFA">
        <w:t xml:space="preserve">. </w:t>
      </w:r>
      <w:r w:rsidRPr="00400A92">
        <w:rPr>
          <w:i/>
          <w:noProof/>
        </w:rPr>
        <w:t>soly</w:t>
      </w:r>
      <w:r w:rsidRPr="00742CFA">
        <w:t xml:space="preserve"> is the limiting solubility of</w:t>
      </w:r>
      <w:r w:rsidR="007711D9">
        <w:t xml:space="preserve"> an</w:t>
      </w:r>
      <w:r w:rsidRPr="00742CFA">
        <w:t xml:space="preserve"> amino acid at given temperature, </w:t>
      </w:r>
      <w:proofErr w:type="spellStart"/>
      <w:r w:rsidRPr="00742CFA">
        <w:t>mM.</w:t>
      </w:r>
      <w:proofErr w:type="spellEnd"/>
    </w:p>
    <w:p w:rsidR="000F6BB0" w:rsidRDefault="00FF302B" w:rsidP="000673AA">
      <w:pPr>
        <w:pStyle w:val="TAMainText"/>
      </w:pPr>
      <w:r w:rsidRPr="000673AA">
        <w:lastRenderedPageBreak/>
        <w:t xml:space="preserve">The </w:t>
      </w:r>
      <w:r w:rsidRPr="000673AA">
        <w:rPr>
          <w:b/>
        </w:rPr>
        <w:t>Table 2</w:t>
      </w:r>
      <w:r w:rsidRPr="000673AA">
        <w:t xml:space="preserve"> shows that the amino acids His, Met, Lys, Asp, </w:t>
      </w:r>
      <w:proofErr w:type="spellStart"/>
      <w:r w:rsidRPr="000673AA">
        <w:t>Leu</w:t>
      </w:r>
      <w:proofErr w:type="spellEnd"/>
      <w:r w:rsidRPr="000673AA">
        <w:t xml:space="preserve"> and </w:t>
      </w:r>
      <w:proofErr w:type="spellStart"/>
      <w:r w:rsidRPr="000673AA">
        <w:t>Phe</w:t>
      </w:r>
      <w:proofErr w:type="spellEnd"/>
      <w:r w:rsidRPr="000673AA">
        <w:t xml:space="preserve"> exhibit the highest </w:t>
      </w:r>
      <w:r w:rsidR="0042281D" w:rsidRPr="00397B53">
        <w:t>adsor</w:t>
      </w:r>
      <w:r w:rsidR="00DD3B0D">
        <w:t>p</w:t>
      </w:r>
      <w:r w:rsidR="0042281D" w:rsidRPr="00397B53">
        <w:t>tion capacity</w:t>
      </w:r>
      <w:r w:rsidRPr="000673AA">
        <w:t xml:space="preserve"> to the surface of the nanocrystalline TiO</w:t>
      </w:r>
      <w:r w:rsidRPr="000673AA">
        <w:rPr>
          <w:vertAlign w:val="subscript"/>
        </w:rPr>
        <w:t>2</w:t>
      </w:r>
      <w:r w:rsidRPr="000673AA">
        <w:t xml:space="preserve"> in the entire range from 273.15</w:t>
      </w:r>
      <w:r w:rsidR="000673AA">
        <w:t> </w:t>
      </w:r>
      <w:r w:rsidRPr="000673AA">
        <w:t>K to 313.15</w:t>
      </w:r>
      <w:r w:rsidR="000673AA">
        <w:t> </w:t>
      </w:r>
      <w:r w:rsidRPr="000673AA">
        <w:t xml:space="preserve">K, while the worst sorbates are Ile and Ala. However, relative position in the row is not static. As temperature changes, all amino acids shift within affinity series, and Pro, </w:t>
      </w:r>
      <w:proofErr w:type="spellStart"/>
      <w:r w:rsidRPr="000673AA">
        <w:t>Gln</w:t>
      </w:r>
      <w:proofErr w:type="spellEnd"/>
      <w:r w:rsidRPr="000673AA">
        <w:t xml:space="preserve">, </w:t>
      </w:r>
      <w:proofErr w:type="spellStart"/>
      <w:r w:rsidRPr="000673AA">
        <w:t>Asn</w:t>
      </w:r>
      <w:proofErr w:type="spellEnd"/>
      <w:r w:rsidRPr="000673AA">
        <w:t xml:space="preserve">, and </w:t>
      </w:r>
      <w:proofErr w:type="spellStart"/>
      <w:r w:rsidRPr="000673AA">
        <w:t>Arg</w:t>
      </w:r>
      <w:proofErr w:type="spellEnd"/>
      <w:r w:rsidRPr="000673AA">
        <w:t xml:space="preserve"> may shift dramatically. Such behavior is caused by various and competing factors such as the ionization degree, hydrophobic, hydrophilic, structural properties of amino acids, etc.</w:t>
      </w:r>
      <w:r w:rsidR="009D6828">
        <w:fldChar w:fldCharType="begin" w:fldLock="1"/>
      </w:r>
      <w:r w:rsidR="00773999">
        <w:instrText>ADDIN CSL_CITATION {"citationItems":[{"id":"ITEM-1","itemData":{"DOI":"10.1021/acs.jpcb.6b05954","ISSN":"15205207","PMID":"27366959","abstract":"Amino acids and peptides are often used as “model” segments of proteins for studying their behavior in various types of environments, and/or elaborating functional surfaces. Indeed, though the protein behavior is much more complex than that of their isolated segments, knowledge of the binding mode as well as of the chemical structure of peptides on metal or oxide surfaces is a significant step toward the control of materials in a biological environment. Such knowledge has considerably increased in the past few years, thanks to the combination of advanced characterization techniques and of modeling methods. Investigations of biomolecule–surface interactions in water/solvent environments are quite numerous, but only in a few cases is it possible to reach an understanding of the molecule–(water)–surface interaction with a level of detail comparable to that of the UHV studies. This contribution aims at reviewing the recent data describing the amino acid and peptide interaction with metal or oxide surfaces in ...","author":[{"dropping-particle":"","family":"Costa","given":"D.","non-dropping-particle":"","parse-names":false,"suffix":""},{"dropping-particle":"","family":"Savio","given":"L.","non-dropping-particle":"","parse-names":false,"suffix":""},{"dropping-particle":"","family":"Pradier","given":"C. M.","non-dropping-particle":"","parse-names":false,"suffix":""}],"container-title":"Journal of Physical Chemistry B","id":"ITEM-1","issue":"29","issued":{"date-parts":[["2016"]]},"page":"7039-7052","title":"Adsorption of Amino Acids and Peptides on Metal and Oxide Surfaces in Water Environment: A Synthetic and Prospective Review","type":"article-journal","volume":"120"},"uris":["http://www.mendeley.com/documents/?uuid=662b2ebc-5f65-490d-8163-f11668a5a6e0"]}],"mendeley":{"formattedCitation":"&lt;sup&gt;22&lt;/sup&gt;","plainTextFormattedCitation":"22","previouslyFormattedCitation":"&lt;sup&gt;22&lt;/sup&gt;"},"properties":{"noteIndex":0},"schema":"https://github.com/citation-style-language/schema/raw/master/csl-citation.json"}</w:instrText>
      </w:r>
      <w:r w:rsidR="009D6828">
        <w:fldChar w:fldCharType="separate"/>
      </w:r>
      <w:r w:rsidR="009D6828" w:rsidRPr="009D6828">
        <w:rPr>
          <w:noProof/>
          <w:vertAlign w:val="superscript"/>
        </w:rPr>
        <w:t>22</w:t>
      </w:r>
      <w:r w:rsidR="009D6828">
        <w:fldChar w:fldCharType="end"/>
      </w:r>
      <w:r w:rsidR="009909F6">
        <w:t xml:space="preserve"> Complex character of the adsorption capacity is explained with molecular descriptors further in the text.</w:t>
      </w:r>
    </w:p>
    <w:p w:rsidR="00FF302B" w:rsidRPr="00FF302B" w:rsidRDefault="00FF302B" w:rsidP="00FF302B">
      <w:pPr>
        <w:pStyle w:val="TAMainText"/>
      </w:pPr>
      <w:proofErr w:type="gramStart"/>
      <w:r w:rsidRPr="00FF302B">
        <w:rPr>
          <w:b/>
        </w:rPr>
        <w:t>OSPR of amino acid thermodynamic parameters.</w:t>
      </w:r>
      <w:proofErr w:type="gramEnd"/>
      <w:r w:rsidRPr="00FF302B">
        <w:t xml:space="preserve"> Earlier studies devoted to amino acid adsorption on TiO</w:t>
      </w:r>
      <w:r w:rsidRPr="00551E86">
        <w:rPr>
          <w:vertAlign w:val="subscript"/>
        </w:rPr>
        <w:t>2</w:t>
      </w:r>
      <w:r w:rsidRPr="00FF302B">
        <w:t xml:space="preserve"> indicated that adsorbate-adsorbent interaction depends on the fraction of unbound electrons in the molecules, molecular size</w:t>
      </w:r>
      <w:r w:rsidR="00EB242B">
        <w:t>,</w:t>
      </w:r>
      <w:r w:rsidRPr="00FF302B">
        <w:t xml:space="preserve"> and spatial structure, the polarity of the chemical bond in molecular adsorption sites. In addition, the adsorption process is affected by solvation of adsorbate molecules and hydrogen intermol</w:t>
      </w:r>
      <w:r w:rsidR="00551E86">
        <w:t>ecular and intramolecular bond.</w:t>
      </w:r>
      <w:r w:rsidR="00440C72">
        <w:fldChar w:fldCharType="begin" w:fldLock="1"/>
      </w:r>
      <w:r w:rsidR="00773999">
        <w:instrText>ADDIN CSL_CITATION {"citationItems":[{"id":"ITEM-1","itemData":{"DOI":"10.1039/jr9600003973","ISBN":"0368-1769","ISSN":"0368-1769","abstract":"No abstract available","author":[{"dropping-particle":"","family":"Giles","given":"C. H.","non-dropping-particle":"","parse-names":false,"suffix":""},{"dropping-particle":"","family":"MacEwan","given":"T. H.","non-dropping-particle":"","parse-names":false,"suffix":""},{"dropping-particle":"","family":"Nakhwa","given":"S. N.","non-dropping-particle":"","parse-names":false,"suffix":""},{"dropping-particle":"","family":"Smith","given":"D.","non-dropping-particle":"","parse-names":false,"suffix":""}],"container-title":"Journal of the Chemical Society (Resumed)","id":"ITEM-1","issued":{"date-parts":[["1960"]]},"page":"3973","title":"786. Studies in adsorption. Part XI. A system of classification of solution adsorption isotherms, and its use in diagnosis of adsorption mechanisms and in measurement of specific surface areas of solids","type":"article-journal","volume":"846"},"uris":["http://www.mendeley.com/documents/?uuid=0550cf1c-b840-46a9-9c27-0c73e1689082"]},{"id":"ITEM-2","itemData":{"DOI":"10.1016/S0039-6028(03)00723-4","ISBN":"0039-6028","ISSN":"00396028","abstract":"The adsorption of glycine, methionine, serine, and cysteine on partially hydroxylated rutile (100) and (110) surfaces was simulated by first principles molecular dynamics. Perfect surfaces and well known defects such as oxygen vacancies and facets were modelled. In most runs the simulation cell was filled with H2O molecules up to standard density. Binding of the carboxyl groups to the surface through hydrogen bonds and Ti-O interaction is weak in all cases. The adsorbate-substrate interactions do not seem to be significantly stronger than adsorbate-adsorbate hydrogen bonds. The NH3+-group of the zwitterion showed only weak interaction with the surface oxygen atoms and rotated around its figure axis. More stable configurations are attained by ester condensation of the carboxyl group and a basic surface hydroxyl group and by the formation of a bond between a deprotonated hydroxyl or thiol group of serine or cysteine, respectively, and a surface Ti. Calculations suggest that these groups bind to the perfect surface rather than inserting into oxygen vacancies. © 2003 Elsevier Science B.V. All rights reserved.","author":[{"dropping-particle":"","family":"Langel","given":"Walter","non-dropping-particle":"","parse-names":false,"suffix":""},{"dropping-particle":"","family":"Menken","given":"Lars","non-dropping-particle":"","parse-names":false,"suffix":""}],"container-title":"Surface Science","id":"ITEM-2","issue":"1-2","issued":{"date-parts":[["2003"]]},"page":"1-9","title":"Simulation of the interface between titanium oxide and amino acids in solution by first principles MD","type":"article-journal","volume":"538"},"uris":["http://www.mendeley.com/documents/?uuid=6599ad96-76ff-41a7-ab68-c1667299c6a0"]}],"mendeley":{"formattedCitation":"&lt;sup&gt;29,50&lt;/sup&gt;","plainTextFormattedCitation":"29,50","previouslyFormattedCitation":"&lt;sup&gt;29,50&lt;/sup&gt;"},"properties":{"noteIndex":0},"schema":"https://github.com/citation-style-language/schema/raw/master/csl-citation.json"}</w:instrText>
      </w:r>
      <w:r w:rsidR="00440C72">
        <w:fldChar w:fldCharType="separate"/>
      </w:r>
      <w:r w:rsidR="00440C72" w:rsidRPr="00440C72">
        <w:rPr>
          <w:noProof/>
          <w:vertAlign w:val="superscript"/>
        </w:rPr>
        <w:t>29,50</w:t>
      </w:r>
      <w:r w:rsidR="00440C72">
        <w:fldChar w:fldCharType="end"/>
      </w:r>
    </w:p>
    <w:p w:rsidR="00FF302B" w:rsidRPr="00FF302B" w:rsidRDefault="00FF302B" w:rsidP="00551E86">
      <w:pPr>
        <w:pStyle w:val="TAMainText"/>
      </w:pPr>
      <w:r w:rsidRPr="00FF302B">
        <w:t>We analyzed some of the amino acids molecular characteristics with respect to their adsorption thermodynamic parameters and discovered the dependence of the adsorption Gibbs free energy at low temperatures (273.15÷303.15</w:t>
      </w:r>
      <w:r w:rsidR="00AA282E">
        <w:t> </w:t>
      </w:r>
      <w:r w:rsidRPr="00FF302B">
        <w:t xml:space="preserve">K) from the fraction of unbound electrons </w:t>
      </w:r>
      <w:proofErr w:type="spellStart"/>
      <w:r w:rsidRPr="00551E86">
        <w:rPr>
          <w:i/>
        </w:rPr>
        <w:t>Р</w:t>
      </w:r>
      <w:r w:rsidR="00551E86" w:rsidRPr="00551E86">
        <w:rPr>
          <w:i/>
          <w:vertAlign w:val="subscript"/>
        </w:rPr>
        <w:t>е</w:t>
      </w:r>
      <w:proofErr w:type="spellEnd"/>
      <w:r w:rsidR="00551E86">
        <w:t xml:space="preserve"> (calculated by the MERA model</w:t>
      </w:r>
      <w:r w:rsidR="00440C72">
        <w:fldChar w:fldCharType="begin" w:fldLock="1"/>
      </w:r>
      <w:r w:rsidR="00773999">
        <w:instrText>ADDIN CSL_CITATION {"citationItems":[{"id":"ITEM-1","itemData":{"DOI":"10.1007/s10822-011-9440-2","ISBN":"1573-4951 (Electronic)\\n0920-654X (Linking)","ISSN":"0920654X","PMID":"21660515","abstract":"The Online Chemical Modeling Environment is a web-based platform that aims to automate and simplify the typical steps required for QSAR modeling. The platform consists of two major subsystems: the database of experimental measurements and the modeling framework. A user-contributed database contains a set of tools for easy input, search and modification of thousands of records. The OCHEM database is based on the wiki principle and focuses primarily on the quality and verifiability of the data. The database is tightly integrated with the modeling framework, which supports all the steps required to create a predictive model: data search, calculation and selection of a vast variety of molecular descriptors, application of machine learning methods, validation, analysis of the model and assessment of the applicability domain. As compared to other similar systems, OCHEM is not intended to re-implement the existing tools or models but rather to invite the original authors to contribute their results, make them publicly available, share them with other users and to become members of the growing research community. Our intention is to make OCHEM a widely used platform to perform the QSPR/QSAR studies online and share it with other users on the Web. The ultimate goal of OCHEM is collecting all possible chemoinformatics tools within one simple, reliable and user-friendly resource. The OCHEM is free for web users and it is available online at http://www.ochem.eu.","author":[{"dropping-particle":"","family":"Sushko","given":"Iurii","non-dropping-particle":"","parse-names":false,"suffix":""},{"dropping-particle":"","family":"Novotarskyi","given":"Sergii","non-dropping-particle":"","parse-names":false,"suffix":""},{"dropping-particle":"","family":"Körner","given":"Robert","non-dropping-particle":"","parse-names":false,"suffix":""},{"dropping-particle":"","family":"Pandey","given":"Anil Kumar","non-dropping-particle":"","parse-names":false,"suffix":""},{"dropping-particle":"","family":"Rupp","given":"Matthias","non-dropping-particle":"","parse-names":false,"suffix":""},{"dropping-particle":"","family":"Teetz","given":"Wolfram","non-dropping-particle":"","parse-names":false,"suffix":""},{"dropping-particle":"","family":"Brandmaier","given":"Stefan","non-dropping-particle":"","parse-names":false,"suffix":""},{"dropping-particle":"","family":"Abdelaziz","given":"Ahmed","non-dropping-particle":"","parse-names":false,"suffix":""},{"dropping-particle":"V.","family":"Prokopenko","given":"Volodymyr","non-dropping-particle":"","parse-names":false,"suffix":""},{"dropping-particle":"","family":"Tanchuk","given":"Vsevolod Y.","non-dropping-particle":"","parse-names":false,"suffix":""},{"dropping-particle":"","family":"Todeschini","given":"Roberto","non-dropping-particle":"","parse-names":false,"suffix":""},{"dropping-particle":"","family":"Varnek","given":"Alexandre","non-dropping-particle":"","parse-names":false,"suffix":""},{"dropping-particle":"","family":"Marcou","given":"Gilles","non-dropping-particle":"","parse-names":false,"suffix":""},{"dropping-particle":"","family":"Ertl","given":"Peter","non-dropping-particle":"","parse-names":false,"suffix":""},{"dropping-particle":"","family":"Potemkin","given":"Vladimir","non-dropping-particle":"","parse-names":false,"suffix":""},{"dropping-particle":"","family":"Grishina","given":"Maria","non-dropping-particle":"","parse-names":false,"suffix":""},{"dropping-particle":"","family":"Gasteiger","given":"Johann","non-dropping-particle":"","parse-names":false,"suffix":""},{"dropping-particle":"","family":"Schwab","given":"Christof","non-dropping-particle":"","parse-names":false,"suffix":""},{"dropping-particle":"","family":"Baskin","given":"Igor I.","non-dropping-particle":"","parse-names":false,"suffix":""},{"dropping-particle":"","family":"Palyulin","given":"Vladimir A.","non-dropping-particle":"","parse-names":false,"suffix":""},{"dropping-particle":"V.","family":"Radchenko","given":"Eugene","non-dropping-particle":"","parse-names":false,"suffix":""},{"dropping-particle":"","family":"Welsh","given":"William J.","non-dropping-particle":"","parse-names":false,"suffix":""},{"dropping-particle":"","family":"Kholodovych","given":"Vladyslav","non-dropping-particle":"","parse-names":false,"suffix":""},{"dropping-particle":"","family":"Chekmarev","given":"Dmitriy","non-dropping-particle":"","parse-names":false,"suffix":""},{"dropping-particle":"","family":"Cherkasov","given":"Artem","non-dropping-particle":"","parse-names":false,"suffix":""},{"dropping-particle":"","family":"Aires-De-Sousa","given":"Joao","non-dropping-particle":"","parse-names":false,"suffix":""},{"dropping-particle":"","family":"Zhang","given":"Qing You","non-dropping-particle":"","parse-names":false,"suffix":""},{"dropping-particle":"","family":"Bender","given":"Andreas","non-dropping-particle":"","parse-names":false,"suffix":""},{"dropping-particle":"","family":"Nigsch","given":"Florian","non-dropping-particle":"","parse-names":false,"suffix":""},{"dropping-particle":"","family":"Patiny","given":"Luc","non-dropping-particle":"","parse-names":false,"suffix":""},{"dropping-particle":"","family":"Williams","given":"Antony","non-dropping-particle":"","parse-names":false,"suffix":""},{"dropping-particle":"","family":"Tkachenko","given":"Valery","non-dropping-particle":"","parse-names":false,"suffix":""},{"dropping-particle":"V.","family":"Tetko","given":"Igor","non-dropping-particle":"","parse-names":false,"suffix":""}],"container-title":"Journal of Computer-Aided Molecular Design","id":"ITEM-1","issue":"6","issued":{"date-parts":[["2011"]]},"page":"533-554","title":"Online chemical modeling environment (OCHEM): Web platform for data storage, model development and publishing of chemical information","type":"article-journal","volume":"25"},"uris":["http://www.mendeley.com/documents/?uuid=b5f42c4f-7a70-4ec4-ab79-4702d0cbf623"]}],"mendeley":{"formattedCitation":"&lt;sup&gt;51&lt;/sup&gt;","plainTextFormattedCitation":"51","previouslyFormattedCitation":"&lt;sup&gt;51&lt;/sup&gt;"},"properties":{"noteIndex":0},"schema":"https://github.com/citation-style-language/schema/raw/master/csl-citation.json"}</w:instrText>
      </w:r>
      <w:r w:rsidR="00440C72">
        <w:fldChar w:fldCharType="separate"/>
      </w:r>
      <w:r w:rsidR="00440C72" w:rsidRPr="00440C72">
        <w:rPr>
          <w:noProof/>
          <w:vertAlign w:val="superscript"/>
        </w:rPr>
        <w:t>51</w:t>
      </w:r>
      <w:r w:rsidR="00440C72">
        <w:fldChar w:fldCharType="end"/>
      </w:r>
      <w:r w:rsidRPr="00FF302B">
        <w:t>):</w:t>
      </w:r>
    </w:p>
    <w:p w:rsidR="00FF302B" w:rsidRPr="00FF302B" w:rsidRDefault="0001697C" w:rsidP="00AE1F4B">
      <w:pPr>
        <w:pStyle w:val="TAMainText"/>
        <w:jc w:val="center"/>
      </w:pPr>
      <m:oMath>
        <m:r>
          <w:rPr>
            <w:rFonts w:ascii="Cambria Math" w:hAnsi="Cambria Math"/>
          </w:rPr>
          <m:t>ΔG=a+b</m:t>
        </m:r>
        <m:sSub>
          <m:sSubPr>
            <m:ctrlPr>
              <w:rPr>
                <w:rFonts w:ascii="Cambria Math" w:hAnsi="Cambria Math"/>
                <w:bCs/>
                <w:i/>
              </w:rPr>
            </m:ctrlPr>
          </m:sSubPr>
          <m:e>
            <m:r>
              <w:rPr>
                <w:rFonts w:ascii="Cambria Math" w:hAnsi="Cambria Math"/>
              </w:rPr>
              <m:t>P</m:t>
            </m:r>
          </m:e>
          <m:sub>
            <m:r>
              <w:rPr>
                <w:rFonts w:ascii="Cambria Math" w:hAnsi="Cambria Math"/>
              </w:rPr>
              <m:t>e</m:t>
            </m:r>
          </m:sub>
        </m:sSub>
      </m:oMath>
      <w:r w:rsidR="00551E86">
        <w:tab/>
      </w:r>
      <w:r w:rsidR="00551E86">
        <w:tab/>
        <w:t>(6),</w:t>
      </w:r>
    </w:p>
    <w:p w:rsidR="00FF302B" w:rsidRPr="00FF302B" w:rsidRDefault="00FF302B" w:rsidP="006E79D2">
      <w:pPr>
        <w:pStyle w:val="TAMainText"/>
        <w:ind w:firstLine="0"/>
      </w:pPr>
      <w:proofErr w:type="gramStart"/>
      <w:r w:rsidRPr="00FF302B">
        <w:t>where</w:t>
      </w:r>
      <w:proofErr w:type="gramEnd"/>
      <w:r w:rsidRPr="00FF302B">
        <w:t xml:space="preserve"> </w:t>
      </w:r>
      <w:r w:rsidRPr="00551E86">
        <w:rPr>
          <w:i/>
        </w:rPr>
        <w:t>a</w:t>
      </w:r>
      <w:r w:rsidRPr="00FF302B">
        <w:t xml:space="preserve"> and </w:t>
      </w:r>
      <w:r w:rsidRPr="00551E86">
        <w:rPr>
          <w:i/>
        </w:rPr>
        <w:t>b</w:t>
      </w:r>
      <w:r w:rsidRPr="00FF302B">
        <w:t xml:space="preserve"> are the parameters; </w:t>
      </w:r>
      <w:proofErr w:type="spellStart"/>
      <w:r w:rsidRPr="00551E86">
        <w:rPr>
          <w:i/>
        </w:rPr>
        <w:t>P</w:t>
      </w:r>
      <w:r w:rsidRPr="00551E86">
        <w:rPr>
          <w:i/>
          <w:vertAlign w:val="subscript"/>
        </w:rPr>
        <w:t>e</w:t>
      </w:r>
      <w:proofErr w:type="spellEnd"/>
      <w:r w:rsidRPr="00FF302B">
        <w:t xml:space="preserve"> is the fraction of unbound electrons.</w:t>
      </w:r>
    </w:p>
    <w:p w:rsidR="0059733F" w:rsidRPr="00551E86" w:rsidRDefault="00FF302B" w:rsidP="00DB64EB">
      <w:pPr>
        <w:pStyle w:val="TAMainText"/>
      </w:pPr>
      <w:r w:rsidRPr="00FF302B">
        <w:t xml:space="preserve">The values of the </w:t>
      </w:r>
      <w:r w:rsidRPr="00551E86">
        <w:rPr>
          <w:i/>
        </w:rPr>
        <w:t>a</w:t>
      </w:r>
      <w:r w:rsidRPr="00FF302B">
        <w:t xml:space="preserve"> and </w:t>
      </w:r>
      <w:r w:rsidRPr="00551E86">
        <w:rPr>
          <w:i/>
        </w:rPr>
        <w:t>b</w:t>
      </w:r>
      <w:r w:rsidRPr="00FF302B">
        <w:t xml:space="preserve"> parameters, the correlation coefficients R and the standard deviations S (</w:t>
      </w:r>
      <w:r w:rsidRPr="00E5579F">
        <w:rPr>
          <w:b/>
        </w:rPr>
        <w:t>Table 3</w:t>
      </w:r>
      <w:r w:rsidRPr="00FF302B">
        <w:t>) indicate that the dependence decreases upon heating up to 313.15</w:t>
      </w:r>
      <w:r w:rsidR="00DB64EB">
        <w:t> </w:t>
      </w:r>
      <w:r w:rsidRPr="00FF302B">
        <w:t xml:space="preserve">K, where it ceases. At this point, </w:t>
      </w:r>
      <w:r w:rsidR="00EB242B">
        <w:t xml:space="preserve">a </w:t>
      </w:r>
      <w:r w:rsidRPr="00FF302B">
        <w:t xml:space="preserve">weak dependence of </w:t>
      </w:r>
      <w:r w:rsidRPr="00DB64EB">
        <w:rPr>
          <w:i/>
        </w:rPr>
        <w:t>ΔG</w:t>
      </w:r>
      <w:r w:rsidRPr="00FF302B">
        <w:t xml:space="preserve"> on the linear molecular dimensions appears, which could refer to a predominantly Van der Waals character of adsorption. </w:t>
      </w:r>
      <w:proofErr w:type="gramStart"/>
      <w:r w:rsidRPr="00FF302B">
        <w:t xml:space="preserve">The </w:t>
      </w:r>
      <w:r w:rsidRPr="00551E86">
        <w:rPr>
          <w:i/>
        </w:rPr>
        <w:t>a</w:t>
      </w:r>
      <w:proofErr w:type="gramEnd"/>
      <w:r w:rsidRPr="00FF302B">
        <w:t xml:space="preserve"> and </w:t>
      </w:r>
      <w:r w:rsidRPr="00551E86">
        <w:rPr>
          <w:i/>
        </w:rPr>
        <w:t>b</w:t>
      </w:r>
      <w:r w:rsidRPr="00FF302B">
        <w:t xml:space="preserve"> coefficients have </w:t>
      </w:r>
      <w:r w:rsidRPr="00FF302B">
        <w:lastRenderedPageBreak/>
        <w:t>the largest absolute values at 273.15</w:t>
      </w:r>
      <w:r w:rsidR="00DB64EB">
        <w:t> </w:t>
      </w:r>
      <w:r w:rsidRPr="00FF302B">
        <w:t>K, while at temperatures of 283.15÷303.15</w:t>
      </w:r>
      <w:r w:rsidR="00DB64EB">
        <w:t> </w:t>
      </w:r>
      <w:r w:rsidRPr="00FF302B">
        <w:t>K they decrease and differ insignificantly.</w:t>
      </w:r>
    </w:p>
    <w:p w:rsidR="00981A89" w:rsidRDefault="00981A89" w:rsidP="00981A89">
      <w:pPr>
        <w:pStyle w:val="VDTableTitle"/>
      </w:pPr>
      <w:proofErr w:type="gramStart"/>
      <w:r w:rsidRPr="00981A89">
        <w:rPr>
          <w:b/>
        </w:rPr>
        <w:t>Table 3.</w:t>
      </w:r>
      <w:proofErr w:type="gramEnd"/>
      <w:r w:rsidRPr="00981A89">
        <w:t xml:space="preserve"> The values of the parameters </w:t>
      </w:r>
      <w:proofErr w:type="gramStart"/>
      <w:r w:rsidRPr="00981A89">
        <w:rPr>
          <w:i/>
        </w:rPr>
        <w:t>a</w:t>
      </w:r>
      <w:r w:rsidRPr="00981A89">
        <w:t xml:space="preserve"> and</w:t>
      </w:r>
      <w:proofErr w:type="gramEnd"/>
      <w:r w:rsidRPr="00981A89">
        <w:t xml:space="preserve"> </w:t>
      </w:r>
      <w:r w:rsidRPr="00981A89">
        <w:rPr>
          <w:i/>
        </w:rPr>
        <w:t>b</w:t>
      </w:r>
      <w:r w:rsidRPr="00981A89">
        <w:t xml:space="preserve"> for different temperatures, the correlation coefficients R and the standard deviations 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gridCol w:w="1869"/>
        <w:gridCol w:w="1869"/>
        <w:gridCol w:w="1869"/>
      </w:tblGrid>
      <w:tr w:rsidR="00981A89" w:rsidRPr="00981A89" w:rsidTr="001306E4">
        <w:tc>
          <w:tcPr>
            <w:tcW w:w="1869" w:type="dxa"/>
            <w:tcBorders>
              <w:bottom w:val="single" w:sz="4" w:space="0" w:color="auto"/>
            </w:tcBorders>
            <w:vAlign w:val="center"/>
          </w:tcPr>
          <w:p w:rsidR="00981A89" w:rsidRPr="00BE6180" w:rsidRDefault="00981A89" w:rsidP="00981A89">
            <w:pPr>
              <w:pStyle w:val="TCTableBody"/>
              <w:jc w:val="center"/>
              <w:rPr>
                <w:b/>
                <w:lang w:val="en-US"/>
              </w:rPr>
            </w:pPr>
            <w:r w:rsidRPr="00981A89">
              <w:rPr>
                <w:b/>
              </w:rPr>
              <w:t>Т</w:t>
            </w:r>
            <w:r w:rsidRPr="00BE6180">
              <w:rPr>
                <w:b/>
                <w:lang w:val="en-US"/>
              </w:rPr>
              <w:t xml:space="preserve">, </w:t>
            </w:r>
            <w:r w:rsidRPr="00BE6180">
              <w:rPr>
                <w:b/>
                <w:i/>
                <w:lang w:val="en-US"/>
              </w:rPr>
              <w:t>K</w:t>
            </w:r>
          </w:p>
        </w:tc>
        <w:tc>
          <w:tcPr>
            <w:tcW w:w="1869" w:type="dxa"/>
            <w:tcBorders>
              <w:bottom w:val="single" w:sz="4" w:space="0" w:color="auto"/>
            </w:tcBorders>
            <w:vAlign w:val="center"/>
          </w:tcPr>
          <w:p w:rsidR="00981A89" w:rsidRPr="00BE6180" w:rsidRDefault="00981A89" w:rsidP="00981A89">
            <w:pPr>
              <w:pStyle w:val="TCTableBody"/>
              <w:jc w:val="center"/>
              <w:rPr>
                <w:b/>
                <w:lang w:val="en-US"/>
              </w:rPr>
            </w:pPr>
            <w:r w:rsidRPr="00BE6180">
              <w:rPr>
                <w:b/>
                <w:lang w:val="en-US"/>
              </w:rPr>
              <w:t>a</w:t>
            </w:r>
          </w:p>
        </w:tc>
        <w:tc>
          <w:tcPr>
            <w:tcW w:w="1869" w:type="dxa"/>
            <w:tcBorders>
              <w:bottom w:val="single" w:sz="4" w:space="0" w:color="auto"/>
            </w:tcBorders>
            <w:vAlign w:val="center"/>
          </w:tcPr>
          <w:p w:rsidR="00981A89" w:rsidRPr="00BE6180" w:rsidRDefault="00981A89" w:rsidP="00981A89">
            <w:pPr>
              <w:pStyle w:val="TCTableBody"/>
              <w:jc w:val="center"/>
              <w:rPr>
                <w:b/>
                <w:lang w:val="en-US"/>
              </w:rPr>
            </w:pPr>
            <w:r w:rsidRPr="00BE6180">
              <w:rPr>
                <w:b/>
                <w:lang w:val="en-US"/>
              </w:rPr>
              <w:t>b</w:t>
            </w:r>
          </w:p>
        </w:tc>
        <w:tc>
          <w:tcPr>
            <w:tcW w:w="1869" w:type="dxa"/>
            <w:tcBorders>
              <w:bottom w:val="single" w:sz="4" w:space="0" w:color="auto"/>
            </w:tcBorders>
            <w:vAlign w:val="center"/>
          </w:tcPr>
          <w:p w:rsidR="00981A89" w:rsidRPr="00BE6180" w:rsidRDefault="00981A89" w:rsidP="00981A89">
            <w:pPr>
              <w:pStyle w:val="TCTableBody"/>
              <w:jc w:val="center"/>
              <w:rPr>
                <w:b/>
                <w:lang w:val="en-US"/>
              </w:rPr>
            </w:pPr>
            <w:r w:rsidRPr="00BE6180">
              <w:rPr>
                <w:b/>
                <w:lang w:val="en-US"/>
              </w:rPr>
              <w:t>R</w:t>
            </w:r>
          </w:p>
        </w:tc>
        <w:tc>
          <w:tcPr>
            <w:tcW w:w="1869" w:type="dxa"/>
            <w:tcBorders>
              <w:bottom w:val="single" w:sz="4" w:space="0" w:color="auto"/>
            </w:tcBorders>
            <w:vAlign w:val="center"/>
          </w:tcPr>
          <w:p w:rsidR="00981A89" w:rsidRPr="00BE6180" w:rsidRDefault="00981A89" w:rsidP="00981A89">
            <w:pPr>
              <w:pStyle w:val="TCTableBody"/>
              <w:jc w:val="center"/>
              <w:rPr>
                <w:b/>
                <w:lang w:val="en-US"/>
              </w:rPr>
            </w:pPr>
            <w:r w:rsidRPr="00BE6180">
              <w:rPr>
                <w:b/>
                <w:lang w:val="en-US"/>
              </w:rPr>
              <w:t xml:space="preserve">S, </w:t>
            </w:r>
            <w:r w:rsidRPr="00BE6180">
              <w:rPr>
                <w:b/>
                <w:i/>
                <w:lang w:val="en-US"/>
              </w:rPr>
              <w:t>kJ/</w:t>
            </w:r>
            <w:proofErr w:type="spellStart"/>
            <w:r w:rsidRPr="00BE6180">
              <w:rPr>
                <w:b/>
                <w:i/>
                <w:lang w:val="en-US"/>
              </w:rPr>
              <w:t>mol</w:t>
            </w:r>
            <w:proofErr w:type="spellEnd"/>
          </w:p>
        </w:tc>
      </w:tr>
      <w:tr w:rsidR="00981A89" w:rsidRPr="00981A89" w:rsidTr="001306E4">
        <w:tc>
          <w:tcPr>
            <w:tcW w:w="1869" w:type="dxa"/>
            <w:tcBorders>
              <w:top w:val="single" w:sz="4" w:space="0" w:color="auto"/>
            </w:tcBorders>
            <w:vAlign w:val="center"/>
          </w:tcPr>
          <w:p w:rsidR="00981A89" w:rsidRPr="00BE6180" w:rsidRDefault="00981A89" w:rsidP="00981A89">
            <w:pPr>
              <w:pStyle w:val="TCTableBody"/>
              <w:jc w:val="center"/>
              <w:rPr>
                <w:lang w:val="en-US"/>
              </w:rPr>
            </w:pPr>
            <w:r w:rsidRPr="00BE6180">
              <w:rPr>
                <w:lang w:val="en-US"/>
              </w:rPr>
              <w:t>273.15</w:t>
            </w:r>
          </w:p>
        </w:tc>
        <w:tc>
          <w:tcPr>
            <w:tcW w:w="1869" w:type="dxa"/>
            <w:tcBorders>
              <w:top w:val="single" w:sz="4" w:space="0" w:color="auto"/>
            </w:tcBorders>
            <w:vAlign w:val="center"/>
          </w:tcPr>
          <w:p w:rsidR="00981A89" w:rsidRPr="00BE6180" w:rsidRDefault="00981A89" w:rsidP="00981A89">
            <w:pPr>
              <w:pStyle w:val="TCTableBody"/>
              <w:jc w:val="center"/>
              <w:rPr>
                <w:lang w:val="en-US"/>
              </w:rPr>
            </w:pPr>
            <w:r w:rsidRPr="00BE6180">
              <w:rPr>
                <w:lang w:val="en-US"/>
              </w:rPr>
              <w:t>99</w:t>
            </w:r>
          </w:p>
        </w:tc>
        <w:tc>
          <w:tcPr>
            <w:tcW w:w="1869" w:type="dxa"/>
            <w:tcBorders>
              <w:top w:val="single" w:sz="4" w:space="0" w:color="auto"/>
            </w:tcBorders>
            <w:vAlign w:val="center"/>
          </w:tcPr>
          <w:p w:rsidR="00981A89" w:rsidRPr="00BE6180" w:rsidRDefault="00981A89" w:rsidP="00981A89">
            <w:pPr>
              <w:pStyle w:val="TCTableBody"/>
              <w:jc w:val="center"/>
              <w:rPr>
                <w:lang w:val="en-US"/>
              </w:rPr>
            </w:pPr>
            <w:r>
              <w:rPr>
                <w:lang w:val="en-US"/>
              </w:rPr>
              <w:noBreakHyphen/>
            </w:r>
            <w:r w:rsidRPr="00BE6180">
              <w:rPr>
                <w:lang w:val="en-US"/>
              </w:rPr>
              <w:t>409</w:t>
            </w:r>
          </w:p>
        </w:tc>
        <w:tc>
          <w:tcPr>
            <w:tcW w:w="1869" w:type="dxa"/>
            <w:tcBorders>
              <w:top w:val="single" w:sz="4" w:space="0" w:color="auto"/>
            </w:tcBorders>
            <w:vAlign w:val="center"/>
          </w:tcPr>
          <w:p w:rsidR="00981A89" w:rsidRPr="00BE6180" w:rsidRDefault="00981A89" w:rsidP="00981A89">
            <w:pPr>
              <w:pStyle w:val="TCTableBody"/>
              <w:jc w:val="center"/>
              <w:rPr>
                <w:lang w:val="en-US"/>
              </w:rPr>
            </w:pPr>
            <w:r w:rsidRPr="00BE6180">
              <w:rPr>
                <w:lang w:val="en-US"/>
              </w:rPr>
              <w:t>0.867</w:t>
            </w:r>
          </w:p>
        </w:tc>
        <w:tc>
          <w:tcPr>
            <w:tcW w:w="1869" w:type="dxa"/>
            <w:tcBorders>
              <w:top w:val="single" w:sz="4" w:space="0" w:color="auto"/>
            </w:tcBorders>
            <w:vAlign w:val="center"/>
          </w:tcPr>
          <w:p w:rsidR="00981A89" w:rsidRPr="00BE6180" w:rsidRDefault="00981A89" w:rsidP="00981A89">
            <w:pPr>
              <w:pStyle w:val="TCTableBody"/>
              <w:jc w:val="center"/>
              <w:rPr>
                <w:lang w:val="en-US"/>
              </w:rPr>
            </w:pPr>
            <w:r w:rsidRPr="00BE6180">
              <w:rPr>
                <w:lang w:val="en-US"/>
              </w:rPr>
              <w:t>2.3</w:t>
            </w:r>
          </w:p>
        </w:tc>
      </w:tr>
      <w:tr w:rsidR="00981A89" w:rsidRPr="00981A89" w:rsidTr="001306E4">
        <w:tc>
          <w:tcPr>
            <w:tcW w:w="1869" w:type="dxa"/>
            <w:vAlign w:val="center"/>
          </w:tcPr>
          <w:p w:rsidR="00981A89" w:rsidRPr="00BE6180" w:rsidRDefault="00981A89" w:rsidP="00981A89">
            <w:pPr>
              <w:pStyle w:val="TCTableBody"/>
              <w:jc w:val="center"/>
              <w:rPr>
                <w:lang w:val="en-US"/>
              </w:rPr>
            </w:pPr>
            <w:r w:rsidRPr="00BE6180">
              <w:rPr>
                <w:lang w:val="en-US"/>
              </w:rPr>
              <w:t>283.15</w:t>
            </w:r>
          </w:p>
        </w:tc>
        <w:tc>
          <w:tcPr>
            <w:tcW w:w="1869" w:type="dxa"/>
            <w:vAlign w:val="center"/>
          </w:tcPr>
          <w:p w:rsidR="00981A89" w:rsidRPr="00BE6180" w:rsidRDefault="00981A89" w:rsidP="00981A89">
            <w:pPr>
              <w:pStyle w:val="TCTableBody"/>
              <w:jc w:val="center"/>
              <w:rPr>
                <w:lang w:val="en-US"/>
              </w:rPr>
            </w:pPr>
            <w:r w:rsidRPr="00BE6180">
              <w:rPr>
                <w:lang w:val="en-US"/>
              </w:rPr>
              <w:t>84</w:t>
            </w:r>
          </w:p>
        </w:tc>
        <w:tc>
          <w:tcPr>
            <w:tcW w:w="1869" w:type="dxa"/>
            <w:vAlign w:val="center"/>
          </w:tcPr>
          <w:p w:rsidR="00981A89" w:rsidRPr="00BE6180" w:rsidRDefault="00981A89" w:rsidP="00981A89">
            <w:pPr>
              <w:pStyle w:val="TCTableBody"/>
              <w:jc w:val="center"/>
              <w:rPr>
                <w:lang w:val="en-US"/>
              </w:rPr>
            </w:pPr>
            <w:r>
              <w:rPr>
                <w:lang w:val="en-US"/>
              </w:rPr>
              <w:noBreakHyphen/>
            </w:r>
            <w:r w:rsidRPr="00BE6180">
              <w:rPr>
                <w:lang w:val="en-US"/>
              </w:rPr>
              <w:t>356</w:t>
            </w:r>
          </w:p>
        </w:tc>
        <w:tc>
          <w:tcPr>
            <w:tcW w:w="1869" w:type="dxa"/>
            <w:vAlign w:val="center"/>
          </w:tcPr>
          <w:p w:rsidR="00981A89" w:rsidRPr="00BE6180" w:rsidRDefault="00981A89" w:rsidP="00981A89">
            <w:pPr>
              <w:pStyle w:val="TCTableBody"/>
              <w:jc w:val="center"/>
              <w:rPr>
                <w:lang w:val="en-US"/>
              </w:rPr>
            </w:pPr>
            <w:r w:rsidRPr="00BE6180">
              <w:rPr>
                <w:lang w:val="en-US"/>
              </w:rPr>
              <w:t>0.844</w:t>
            </w:r>
          </w:p>
        </w:tc>
        <w:tc>
          <w:tcPr>
            <w:tcW w:w="1869" w:type="dxa"/>
            <w:vAlign w:val="center"/>
          </w:tcPr>
          <w:p w:rsidR="00981A89" w:rsidRPr="00BE6180" w:rsidRDefault="00981A89" w:rsidP="00981A89">
            <w:pPr>
              <w:pStyle w:val="TCTableBody"/>
              <w:jc w:val="center"/>
              <w:rPr>
                <w:lang w:val="en-US"/>
              </w:rPr>
            </w:pPr>
            <w:r w:rsidRPr="00BE6180">
              <w:rPr>
                <w:lang w:val="en-US"/>
              </w:rPr>
              <w:t>2.2</w:t>
            </w:r>
          </w:p>
        </w:tc>
      </w:tr>
      <w:tr w:rsidR="00981A89" w:rsidRPr="00981A89" w:rsidTr="001306E4">
        <w:tc>
          <w:tcPr>
            <w:tcW w:w="1869" w:type="dxa"/>
            <w:vAlign w:val="center"/>
          </w:tcPr>
          <w:p w:rsidR="00981A89" w:rsidRPr="00BE6180" w:rsidRDefault="00981A89" w:rsidP="00981A89">
            <w:pPr>
              <w:pStyle w:val="TCTableBody"/>
              <w:jc w:val="center"/>
              <w:rPr>
                <w:lang w:val="en-US"/>
              </w:rPr>
            </w:pPr>
            <w:r w:rsidRPr="00BE6180">
              <w:rPr>
                <w:lang w:val="en-US"/>
              </w:rPr>
              <w:t>293.15</w:t>
            </w:r>
          </w:p>
        </w:tc>
        <w:tc>
          <w:tcPr>
            <w:tcW w:w="1869" w:type="dxa"/>
            <w:vAlign w:val="center"/>
          </w:tcPr>
          <w:p w:rsidR="00981A89" w:rsidRPr="00BE6180" w:rsidRDefault="00981A89" w:rsidP="00981A89">
            <w:pPr>
              <w:pStyle w:val="TCTableBody"/>
              <w:jc w:val="center"/>
              <w:rPr>
                <w:lang w:val="en-US"/>
              </w:rPr>
            </w:pPr>
            <w:r w:rsidRPr="00BE6180">
              <w:rPr>
                <w:lang w:val="en-US"/>
              </w:rPr>
              <w:t>75</w:t>
            </w:r>
          </w:p>
        </w:tc>
        <w:tc>
          <w:tcPr>
            <w:tcW w:w="1869" w:type="dxa"/>
            <w:vAlign w:val="center"/>
          </w:tcPr>
          <w:p w:rsidR="00981A89" w:rsidRPr="00BE6180" w:rsidRDefault="00981A89" w:rsidP="00981A89">
            <w:pPr>
              <w:pStyle w:val="TCTableBody"/>
              <w:jc w:val="center"/>
              <w:rPr>
                <w:lang w:val="en-US"/>
              </w:rPr>
            </w:pPr>
            <w:r>
              <w:rPr>
                <w:lang w:val="en-US"/>
              </w:rPr>
              <w:noBreakHyphen/>
            </w:r>
            <w:r w:rsidRPr="00BE6180">
              <w:rPr>
                <w:lang w:val="en-US"/>
              </w:rPr>
              <w:t>328</w:t>
            </w:r>
          </w:p>
        </w:tc>
        <w:tc>
          <w:tcPr>
            <w:tcW w:w="1869" w:type="dxa"/>
            <w:vAlign w:val="center"/>
          </w:tcPr>
          <w:p w:rsidR="00981A89" w:rsidRPr="00BE6180" w:rsidRDefault="00981A89" w:rsidP="00981A89">
            <w:pPr>
              <w:pStyle w:val="TCTableBody"/>
              <w:jc w:val="center"/>
              <w:rPr>
                <w:lang w:val="en-US"/>
              </w:rPr>
            </w:pPr>
            <w:r w:rsidRPr="00BE6180">
              <w:rPr>
                <w:lang w:val="en-US"/>
              </w:rPr>
              <w:t>0.795</w:t>
            </w:r>
          </w:p>
        </w:tc>
        <w:tc>
          <w:tcPr>
            <w:tcW w:w="1869" w:type="dxa"/>
            <w:vAlign w:val="center"/>
          </w:tcPr>
          <w:p w:rsidR="00981A89" w:rsidRPr="00BE6180" w:rsidRDefault="00981A89" w:rsidP="00981A89">
            <w:pPr>
              <w:pStyle w:val="TCTableBody"/>
              <w:jc w:val="center"/>
              <w:rPr>
                <w:lang w:val="en-US"/>
              </w:rPr>
            </w:pPr>
            <w:r w:rsidRPr="00BE6180">
              <w:rPr>
                <w:lang w:val="en-US"/>
              </w:rPr>
              <w:t>2.4</w:t>
            </w:r>
          </w:p>
        </w:tc>
      </w:tr>
      <w:tr w:rsidR="00981A89" w:rsidRPr="00981A89" w:rsidTr="001306E4">
        <w:tc>
          <w:tcPr>
            <w:tcW w:w="1869" w:type="dxa"/>
            <w:tcBorders>
              <w:bottom w:val="single" w:sz="4" w:space="0" w:color="auto"/>
            </w:tcBorders>
            <w:vAlign w:val="center"/>
          </w:tcPr>
          <w:p w:rsidR="00981A89" w:rsidRPr="00BE6180" w:rsidRDefault="00981A89" w:rsidP="00981A89">
            <w:pPr>
              <w:pStyle w:val="TCTableBody"/>
              <w:jc w:val="center"/>
              <w:rPr>
                <w:lang w:val="en-US"/>
              </w:rPr>
            </w:pPr>
            <w:r w:rsidRPr="00BE6180">
              <w:rPr>
                <w:lang w:val="en-US"/>
              </w:rPr>
              <w:t>303.15</w:t>
            </w:r>
          </w:p>
        </w:tc>
        <w:tc>
          <w:tcPr>
            <w:tcW w:w="1869" w:type="dxa"/>
            <w:tcBorders>
              <w:bottom w:val="single" w:sz="4" w:space="0" w:color="auto"/>
            </w:tcBorders>
            <w:vAlign w:val="center"/>
          </w:tcPr>
          <w:p w:rsidR="00981A89" w:rsidRPr="00BE6180" w:rsidRDefault="00981A89" w:rsidP="00981A89">
            <w:pPr>
              <w:pStyle w:val="TCTableBody"/>
              <w:jc w:val="center"/>
              <w:rPr>
                <w:lang w:val="en-US"/>
              </w:rPr>
            </w:pPr>
            <w:r w:rsidRPr="00BE6180">
              <w:rPr>
                <w:lang w:val="en-US"/>
              </w:rPr>
              <w:t>82</w:t>
            </w:r>
          </w:p>
        </w:tc>
        <w:tc>
          <w:tcPr>
            <w:tcW w:w="1869" w:type="dxa"/>
            <w:tcBorders>
              <w:bottom w:val="single" w:sz="4" w:space="0" w:color="auto"/>
            </w:tcBorders>
            <w:vAlign w:val="center"/>
          </w:tcPr>
          <w:p w:rsidR="00981A89" w:rsidRPr="00BE6180" w:rsidRDefault="00981A89" w:rsidP="00981A89">
            <w:pPr>
              <w:pStyle w:val="TCTableBody"/>
              <w:jc w:val="center"/>
              <w:rPr>
                <w:lang w:val="en-US"/>
              </w:rPr>
            </w:pPr>
            <w:r>
              <w:rPr>
                <w:lang w:val="en-US"/>
              </w:rPr>
              <w:noBreakHyphen/>
            </w:r>
            <w:r w:rsidRPr="00BE6180">
              <w:rPr>
                <w:lang w:val="en-US"/>
              </w:rPr>
              <w:t>355</w:t>
            </w:r>
          </w:p>
        </w:tc>
        <w:tc>
          <w:tcPr>
            <w:tcW w:w="1869" w:type="dxa"/>
            <w:tcBorders>
              <w:bottom w:val="single" w:sz="4" w:space="0" w:color="auto"/>
            </w:tcBorders>
            <w:vAlign w:val="center"/>
          </w:tcPr>
          <w:p w:rsidR="00981A89" w:rsidRPr="00BE6180" w:rsidRDefault="00981A89" w:rsidP="00981A89">
            <w:pPr>
              <w:pStyle w:val="TCTableBody"/>
              <w:jc w:val="center"/>
              <w:rPr>
                <w:lang w:val="en-US"/>
              </w:rPr>
            </w:pPr>
            <w:r w:rsidRPr="00BE6180">
              <w:rPr>
                <w:lang w:val="en-US"/>
              </w:rPr>
              <w:t>0.694</w:t>
            </w:r>
          </w:p>
        </w:tc>
        <w:tc>
          <w:tcPr>
            <w:tcW w:w="1869" w:type="dxa"/>
            <w:tcBorders>
              <w:bottom w:val="single" w:sz="4" w:space="0" w:color="auto"/>
            </w:tcBorders>
            <w:vAlign w:val="center"/>
          </w:tcPr>
          <w:p w:rsidR="00981A89" w:rsidRPr="00BE6180" w:rsidRDefault="00981A89" w:rsidP="00981A89">
            <w:pPr>
              <w:pStyle w:val="TCTableBody"/>
              <w:jc w:val="center"/>
              <w:rPr>
                <w:lang w:val="en-US"/>
              </w:rPr>
            </w:pPr>
            <w:r w:rsidRPr="00BE6180">
              <w:rPr>
                <w:lang w:val="en-US"/>
              </w:rPr>
              <w:t>3.6</w:t>
            </w:r>
          </w:p>
        </w:tc>
      </w:tr>
    </w:tbl>
    <w:p w:rsidR="00981A89" w:rsidRPr="00981A89" w:rsidRDefault="00981A89" w:rsidP="00981A89"/>
    <w:p w:rsidR="00DB64EB" w:rsidRDefault="00DB64EB" w:rsidP="00551E86">
      <w:pPr>
        <w:pStyle w:val="TAMainText"/>
      </w:pPr>
      <w:proofErr w:type="gramStart"/>
      <w:r w:rsidRPr="00F20185">
        <w:t>The larger the fraction of unbound electrons in the system, the greater the probability of binding unshared electron pairs to titanium atoms.</w:t>
      </w:r>
      <w:proofErr w:type="gramEnd"/>
      <w:r w:rsidRPr="00F20185">
        <w:t xml:space="preserve"> The </w:t>
      </w:r>
      <w:proofErr w:type="spellStart"/>
      <w:r w:rsidRPr="00F20185">
        <w:rPr>
          <w:i/>
        </w:rPr>
        <w:t>P</w:t>
      </w:r>
      <w:r w:rsidRPr="00F20185">
        <w:rPr>
          <w:i/>
          <w:vertAlign w:val="subscript"/>
        </w:rPr>
        <w:t>e</w:t>
      </w:r>
      <w:proofErr w:type="spellEnd"/>
      <w:r w:rsidRPr="00F20185">
        <w:t xml:space="preserve"> values are presented in </w:t>
      </w:r>
      <w:r w:rsidRPr="00F20185">
        <w:rPr>
          <w:b/>
        </w:rPr>
        <w:t>Table 4</w:t>
      </w:r>
      <w:r w:rsidRPr="00F20185">
        <w:t>.</w:t>
      </w:r>
    </w:p>
    <w:p w:rsidR="00551E86" w:rsidRPr="00551E86" w:rsidRDefault="00551E86" w:rsidP="00551E86">
      <w:pPr>
        <w:pStyle w:val="TAMainText"/>
      </w:pPr>
      <w:r w:rsidRPr="00551E86">
        <w:t xml:space="preserve">The adsorption enthalpy depends on </w:t>
      </w:r>
      <w:r>
        <w:t xml:space="preserve">the </w:t>
      </w:r>
      <w:r w:rsidRPr="0071397C">
        <w:rPr>
          <w:i/>
        </w:rPr>
        <w:t>α</w:t>
      </w:r>
      <w:r>
        <w:t xml:space="preserve">-nitrogen partial charge </w:t>
      </w:r>
      <w:r w:rsidRPr="00551E86">
        <w:rPr>
          <w:i/>
        </w:rPr>
        <w:t>Q</w:t>
      </w:r>
      <w:r w:rsidRPr="00551E86">
        <w:rPr>
          <w:i/>
          <w:vertAlign w:val="subscript"/>
        </w:rPr>
        <w:t>N</w:t>
      </w:r>
      <w:r w:rsidR="006E79D2">
        <w:t xml:space="preserve"> </w:t>
      </w:r>
      <w:r w:rsidRPr="00551E86">
        <w:t>and on the energy gap between the HOMO and LUMO ∆ (all quantum characteristics are calculated at the DFT B3LYP 6/</w:t>
      </w:r>
      <w:proofErr w:type="gramStart"/>
      <w:r w:rsidRPr="00551E86">
        <w:t>311G(</w:t>
      </w:r>
      <w:proofErr w:type="spellStart"/>
      <w:proofErr w:type="gramEnd"/>
      <w:r w:rsidRPr="00551E86">
        <w:t>d,p</w:t>
      </w:r>
      <w:proofErr w:type="spellEnd"/>
      <w:r w:rsidRPr="00551E86">
        <w:t xml:space="preserve">) level of theory for the </w:t>
      </w:r>
      <w:proofErr w:type="spellStart"/>
      <w:r w:rsidRPr="00551E86">
        <w:t>zwitterionic</w:t>
      </w:r>
      <w:proofErr w:type="spellEnd"/>
      <w:r w:rsidRPr="00551E86">
        <w:t xml:space="preserve"> forms of amino acids). The dependence is the following:</w:t>
      </w:r>
    </w:p>
    <w:p w:rsidR="00551E86" w:rsidRPr="00551E86" w:rsidRDefault="0001697C" w:rsidP="00AE1F4B">
      <w:pPr>
        <w:pStyle w:val="TAMainText"/>
        <w:jc w:val="center"/>
      </w:pPr>
      <m:oMath>
        <m:r>
          <w:rPr>
            <w:rFonts w:ascii="Cambria Math" w:hAnsi="Cambria Math"/>
          </w:rPr>
          <m:t>ΔH=660-650∆+960</m:t>
        </m:r>
        <m:sSub>
          <m:sSubPr>
            <m:ctrlPr>
              <w:rPr>
                <w:rFonts w:ascii="Cambria Math" w:hAnsi="Cambria Math"/>
                <w:bCs/>
                <w:i/>
              </w:rPr>
            </m:ctrlPr>
          </m:sSubPr>
          <m:e>
            <m:r>
              <w:rPr>
                <w:rFonts w:ascii="Cambria Math" w:hAnsi="Cambria Math"/>
              </w:rPr>
              <m:t>Q</m:t>
            </m:r>
          </m:e>
          <m:sub>
            <m:r>
              <w:rPr>
                <w:rFonts w:ascii="Cambria Math" w:hAnsi="Cambria Math"/>
              </w:rPr>
              <m:t>N</m:t>
            </m:r>
          </m:sub>
        </m:sSub>
      </m:oMath>
      <w:r w:rsidR="00551E86">
        <w:tab/>
      </w:r>
      <w:r w:rsidR="00551E86">
        <w:tab/>
        <w:t>(</w:t>
      </w:r>
      <w:r w:rsidR="00551E86" w:rsidRPr="00E5579F">
        <w:rPr>
          <w:i/>
        </w:rPr>
        <w:t>7</w:t>
      </w:r>
      <w:r w:rsidR="00551E86">
        <w:t>),</w:t>
      </w:r>
    </w:p>
    <w:p w:rsidR="00551E86" w:rsidRPr="00551E86" w:rsidRDefault="002B216C" w:rsidP="00E5579F">
      <w:pPr>
        <w:pStyle w:val="TAMainText"/>
        <w:ind w:firstLine="0"/>
      </w:pPr>
      <w:proofErr w:type="gramStart"/>
      <w:r>
        <w:t>where</w:t>
      </w:r>
      <w:proofErr w:type="gramEnd"/>
      <w:r>
        <w:t xml:space="preserve"> </w:t>
      </w:r>
      <w:r>
        <w:rPr>
          <w:rFonts w:cs="Times"/>
        </w:rPr>
        <w:t>Δ</w:t>
      </w:r>
      <w:r>
        <w:t xml:space="preserve"> </w:t>
      </w:r>
      <w:r w:rsidR="00551E86" w:rsidRPr="00551E86">
        <w:t xml:space="preserve">is the HOMO and LUMO gap, </w:t>
      </w:r>
      <w:proofErr w:type="spellStart"/>
      <w:r w:rsidR="00551E86" w:rsidRPr="00551E86">
        <w:t>Hartree</w:t>
      </w:r>
      <w:proofErr w:type="spellEnd"/>
      <w:r w:rsidR="00551E86" w:rsidRPr="00551E86">
        <w:t xml:space="preserve">; </w:t>
      </w:r>
      <w:r w:rsidR="00551E86" w:rsidRPr="002B216C">
        <w:rPr>
          <w:i/>
        </w:rPr>
        <w:t>Q</w:t>
      </w:r>
      <w:r w:rsidR="00551E86" w:rsidRPr="002B216C">
        <w:rPr>
          <w:i/>
          <w:vertAlign w:val="subscript"/>
        </w:rPr>
        <w:t>N</w:t>
      </w:r>
      <w:r>
        <w:t xml:space="preserve"> – </w:t>
      </w:r>
      <w:r w:rsidRPr="000A0161">
        <w:rPr>
          <w:rFonts w:cs="Times"/>
          <w:i/>
        </w:rPr>
        <w:t>α</w:t>
      </w:r>
      <w:r>
        <w:t>-</w:t>
      </w:r>
      <w:r w:rsidR="00551E86" w:rsidRPr="00551E86">
        <w:t xml:space="preserve">nitrogen partial charge, </w:t>
      </w:r>
      <w:proofErr w:type="spellStart"/>
      <w:r w:rsidR="00551E86" w:rsidRPr="00551E86">
        <w:t>a.u</w:t>
      </w:r>
      <w:proofErr w:type="spellEnd"/>
      <w:r w:rsidR="00551E86" w:rsidRPr="00551E86">
        <w:t xml:space="preserve">. The correlation coefficient is </w:t>
      </w:r>
      <w:proofErr w:type="gramStart"/>
      <w:r w:rsidR="00551E86" w:rsidRPr="00551E86">
        <w:t>0.838,</w:t>
      </w:r>
      <w:proofErr w:type="gramEnd"/>
      <w:r w:rsidR="00551E86" w:rsidRPr="00551E86">
        <w:t xml:space="preserve"> the standard deviation is 13 kJ/mol. The values of Δ and </w:t>
      </w:r>
      <w:r w:rsidR="00551E86" w:rsidRPr="002B216C">
        <w:rPr>
          <w:i/>
        </w:rPr>
        <w:t>Q</w:t>
      </w:r>
      <w:r w:rsidR="00551E86" w:rsidRPr="002B216C">
        <w:rPr>
          <w:i/>
          <w:vertAlign w:val="subscript"/>
        </w:rPr>
        <w:t>N</w:t>
      </w:r>
      <w:r w:rsidR="00551E86" w:rsidRPr="00551E86">
        <w:t xml:space="preserve"> are given in </w:t>
      </w:r>
      <w:r w:rsidR="00551E86" w:rsidRPr="002B216C">
        <w:rPr>
          <w:b/>
        </w:rPr>
        <w:t>Table 4</w:t>
      </w:r>
      <w:r w:rsidR="00551E86" w:rsidRPr="00551E86">
        <w:t>.</w:t>
      </w:r>
    </w:p>
    <w:p w:rsidR="00551E86" w:rsidRPr="00551E86" w:rsidRDefault="00551E86" w:rsidP="00551E86">
      <w:pPr>
        <w:pStyle w:val="TAMainText"/>
      </w:pPr>
      <w:r w:rsidRPr="00551E86">
        <w:t xml:space="preserve">Amino acids adsorb predominantly with endothermal effect. </w:t>
      </w:r>
      <w:r w:rsidR="00EB242B">
        <w:t>A s</w:t>
      </w:r>
      <w:r w:rsidRPr="00551E86">
        <w:t>imultaneous in</w:t>
      </w:r>
      <w:r w:rsidR="002B216C">
        <w:t xml:space="preserve">crease in </w:t>
      </w:r>
      <w:r w:rsidR="002B216C" w:rsidRPr="002B216C">
        <w:rPr>
          <w:i/>
        </w:rPr>
        <w:t>Q</w:t>
      </w:r>
      <w:r w:rsidRPr="002B216C">
        <w:rPr>
          <w:i/>
          <w:vertAlign w:val="subscript"/>
        </w:rPr>
        <w:t>N</w:t>
      </w:r>
      <w:r w:rsidRPr="00551E86">
        <w:t xml:space="preserve"> and decrease in ∆ </w:t>
      </w:r>
      <w:r w:rsidRPr="00400A92">
        <w:rPr>
          <w:noProof/>
        </w:rPr>
        <w:t>lead</w:t>
      </w:r>
      <w:r w:rsidRPr="00551E86">
        <w:t xml:space="preserve"> to a higher enthalpy of the process, which argues for a significant role of the “head-to-tail” interactions between amino acid in water solutions. Adsorption of amino acids is a mult</w:t>
      </w:r>
      <w:r w:rsidR="00D414C9">
        <w:t>istage process, which includes:</w:t>
      </w:r>
    </w:p>
    <w:p w:rsidR="00551E86" w:rsidRPr="00551E86" w:rsidRDefault="00551E86" w:rsidP="00551E86">
      <w:pPr>
        <w:pStyle w:val="TAMainText"/>
      </w:pPr>
      <w:r w:rsidRPr="00551E86">
        <w:lastRenderedPageBreak/>
        <w:t xml:space="preserve">-disruption of the </w:t>
      </w:r>
      <w:r w:rsidR="00D414C9">
        <w:t>“</w:t>
      </w:r>
      <w:r w:rsidRPr="00551E86">
        <w:t>head-to-tail</w:t>
      </w:r>
      <w:r w:rsidR="00D414C9">
        <w:t>”</w:t>
      </w:r>
      <w:r w:rsidRPr="00551E86">
        <w:t xml:space="preserve"> amino acid agglomerates in amino acid solution;</w:t>
      </w:r>
    </w:p>
    <w:p w:rsidR="00551E86" w:rsidRPr="00551E86" w:rsidRDefault="00551E86" w:rsidP="00551E86">
      <w:pPr>
        <w:pStyle w:val="TAMainText"/>
      </w:pPr>
      <w:r w:rsidRPr="00551E86">
        <w:t>-solvation of the free amino acid;</w:t>
      </w:r>
    </w:p>
    <w:p w:rsidR="00551E86" w:rsidRPr="00551E86" w:rsidRDefault="00551E86" w:rsidP="00551E86">
      <w:pPr>
        <w:pStyle w:val="TAMainText"/>
      </w:pPr>
      <w:r w:rsidRPr="00551E86">
        <w:t>-interaction of the amino acid with the TiO</w:t>
      </w:r>
      <w:r w:rsidRPr="002B216C">
        <w:rPr>
          <w:vertAlign w:val="subscript"/>
        </w:rPr>
        <w:t>2</w:t>
      </w:r>
      <w:r w:rsidRPr="00551E86">
        <w:t xml:space="preserve"> surface;</w:t>
      </w:r>
    </w:p>
    <w:p w:rsidR="00122061" w:rsidRDefault="00551E86" w:rsidP="00E5579F">
      <w:pPr>
        <w:pStyle w:val="TAMainText"/>
        <w:ind w:firstLine="0"/>
      </w:pPr>
      <w:proofErr w:type="gramStart"/>
      <w:r w:rsidRPr="00551E86">
        <w:t>where</w:t>
      </w:r>
      <w:proofErr w:type="gramEnd"/>
      <w:r w:rsidRPr="00551E86">
        <w:t xml:space="preserve"> only the first stage is endothermal. Interestingly, </w:t>
      </w:r>
      <w:r w:rsidRPr="002B216C">
        <w:rPr>
          <w:i/>
        </w:rPr>
        <w:t>ΔH</w:t>
      </w:r>
      <w:r w:rsidRPr="00551E86">
        <w:t xml:space="preserve"> correlates with the energy</w:t>
      </w:r>
      <w:r w:rsidR="002B216C">
        <w:t xml:space="preserve"> of</w:t>
      </w:r>
      <w:r w:rsidR="00C23810">
        <w:t xml:space="preserve"> </w:t>
      </w:r>
      <w:r w:rsidR="00C23810">
        <w:noBreakHyphen/>
      </w:r>
      <w:r w:rsidR="002B216C">
        <w:t>COO</w:t>
      </w:r>
      <w:r w:rsidR="00C23810">
        <w:rPr>
          <w:rFonts w:cs="Times"/>
          <w:vertAlign w:val="superscript"/>
        </w:rPr>
        <w:t>–</w:t>
      </w:r>
      <w:r w:rsidRPr="002B216C">
        <w:rPr>
          <w:vertAlign w:val="superscript"/>
        </w:rPr>
        <w:t>...</w:t>
      </w:r>
      <w:r w:rsidRPr="00551E86">
        <w:t>H</w:t>
      </w:r>
      <w:r w:rsidRPr="002B216C">
        <w:rPr>
          <w:vertAlign w:val="subscript"/>
        </w:rPr>
        <w:t>3</w:t>
      </w:r>
      <w:r w:rsidRPr="00551E86">
        <w:t>N</w:t>
      </w:r>
      <w:r w:rsidRPr="002B216C">
        <w:rPr>
          <w:vertAlign w:val="superscript"/>
        </w:rPr>
        <w:t>+</w:t>
      </w:r>
      <w:r w:rsidRPr="00551E86">
        <w:t xml:space="preserve"> hydrogen bond.</w:t>
      </w:r>
    </w:p>
    <w:p w:rsidR="008A1602" w:rsidRDefault="008A1602" w:rsidP="008A1602">
      <w:pPr>
        <w:pStyle w:val="VDTableTitle"/>
      </w:pPr>
      <w:proofErr w:type="gramStart"/>
      <w:r w:rsidRPr="008A1602">
        <w:rPr>
          <w:b/>
        </w:rPr>
        <w:t>Table 4.</w:t>
      </w:r>
      <w:proofErr w:type="gramEnd"/>
      <w:r w:rsidRPr="008A1602">
        <w:t xml:space="preserve"> The values </w:t>
      </w:r>
      <w:r w:rsidRPr="00F20185">
        <w:t>of the fraction of unbound electrons (</w:t>
      </w:r>
      <w:proofErr w:type="spellStart"/>
      <w:r w:rsidRPr="00F20185">
        <w:rPr>
          <w:i/>
        </w:rPr>
        <w:t>P</w:t>
      </w:r>
      <w:r w:rsidRPr="00F20185">
        <w:rPr>
          <w:i/>
          <w:vertAlign w:val="subscript"/>
        </w:rPr>
        <w:t>e</w:t>
      </w:r>
      <w:proofErr w:type="spellEnd"/>
      <w:r w:rsidRPr="00F20185">
        <w:t xml:space="preserve">), the energy gap between the HOMO and LUMO (Δ), </w:t>
      </w:r>
      <w:r w:rsidRPr="00F20185">
        <w:rPr>
          <w:rFonts w:cs="Times"/>
          <w:i/>
        </w:rPr>
        <w:t>α</w:t>
      </w:r>
      <w:r w:rsidRPr="00F20185">
        <w:t>-nitrogen partial charge (</w:t>
      </w:r>
      <w:r w:rsidRPr="00F20185">
        <w:rPr>
          <w:i/>
        </w:rPr>
        <w:t>Q</w:t>
      </w:r>
      <w:r w:rsidRPr="00F20185">
        <w:rPr>
          <w:i/>
          <w:vertAlign w:val="subscript"/>
        </w:rPr>
        <w:t>N</w:t>
      </w:r>
      <w:r w:rsidRPr="00F20185">
        <w:t>)</w:t>
      </w:r>
      <w:r w:rsidR="003D7215" w:rsidRPr="00F20185">
        <w:t>, the nitrogen atom fraction of unbound electrons (</w:t>
      </w:r>
      <w:proofErr w:type="spellStart"/>
      <w:r w:rsidR="003D7215" w:rsidRPr="00F20185">
        <w:rPr>
          <w:i/>
        </w:rPr>
        <w:t>P</w:t>
      </w:r>
      <w:r w:rsidR="003D7215" w:rsidRPr="00F20185">
        <w:rPr>
          <w:i/>
          <w:vertAlign w:val="subscript"/>
        </w:rPr>
        <w:t>Ne</w:t>
      </w:r>
      <w:proofErr w:type="spellEnd"/>
      <w:r w:rsidR="003D7215" w:rsidRPr="00F20185">
        <w:t>)</w:t>
      </w:r>
      <w:r w:rsidRPr="008A1602">
        <w:t xml:space="preserve"> and the minimum moment of inertia (</w:t>
      </w:r>
      <w:r w:rsidRPr="008A1602">
        <w:rPr>
          <w:i/>
        </w:rPr>
        <w:t>I</w:t>
      </w:r>
      <w:r w:rsidRPr="008A1602">
        <w:t>).</w:t>
      </w:r>
    </w:p>
    <w:tbl>
      <w:tblPr>
        <w:tblStyle w:val="a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483"/>
        <w:gridCol w:w="1522"/>
        <w:gridCol w:w="1493"/>
        <w:gridCol w:w="1331"/>
        <w:gridCol w:w="1690"/>
      </w:tblGrid>
      <w:tr w:rsidR="008A1602" w:rsidTr="00C96030">
        <w:trPr>
          <w:tblHeader/>
        </w:trPr>
        <w:tc>
          <w:tcPr>
            <w:tcW w:w="1826" w:type="dxa"/>
            <w:tcBorders>
              <w:bottom w:val="single" w:sz="4" w:space="0" w:color="auto"/>
            </w:tcBorders>
            <w:vAlign w:val="center"/>
          </w:tcPr>
          <w:p w:rsidR="008A1602" w:rsidRPr="008A1602" w:rsidRDefault="008A1602" w:rsidP="008A1602">
            <w:pPr>
              <w:pStyle w:val="TCTableBody"/>
              <w:jc w:val="center"/>
              <w:rPr>
                <w:b/>
                <w:bCs/>
                <w:color w:val="000000"/>
                <w:shd w:val="clear" w:color="auto" w:fill="FFFFFF"/>
                <w:lang w:val="en-US"/>
              </w:rPr>
            </w:pPr>
            <w:r w:rsidRPr="008A1602">
              <w:rPr>
                <w:b/>
                <w:lang w:val="en-US" w:eastAsia="ru-RU"/>
              </w:rPr>
              <w:t>AA</w:t>
            </w:r>
          </w:p>
        </w:tc>
        <w:tc>
          <w:tcPr>
            <w:tcW w:w="1483" w:type="dxa"/>
            <w:tcBorders>
              <w:bottom w:val="single" w:sz="4" w:space="0" w:color="auto"/>
            </w:tcBorders>
            <w:vAlign w:val="center"/>
          </w:tcPr>
          <w:p w:rsidR="008A1602" w:rsidRPr="008A1602" w:rsidRDefault="008A1602" w:rsidP="008A1602">
            <w:pPr>
              <w:pStyle w:val="TCTableBody"/>
              <w:jc w:val="center"/>
              <w:rPr>
                <w:b/>
                <w:bCs/>
                <w:color w:val="000000"/>
                <w:shd w:val="clear" w:color="auto" w:fill="FFFFFF"/>
              </w:rPr>
            </w:pPr>
            <w:proofErr w:type="spellStart"/>
            <w:r w:rsidRPr="008A1602">
              <w:rPr>
                <w:b/>
                <w:bCs/>
                <w:color w:val="000000"/>
                <w:lang w:val="en-US" w:eastAsia="ru-RU"/>
              </w:rPr>
              <w:t>P</w:t>
            </w:r>
            <w:r w:rsidRPr="008A1602">
              <w:rPr>
                <w:b/>
                <w:bCs/>
                <w:color w:val="000000"/>
                <w:vertAlign w:val="subscript"/>
                <w:lang w:val="en-US" w:eastAsia="ru-RU"/>
              </w:rPr>
              <w:t>e</w:t>
            </w:r>
            <w:proofErr w:type="spellEnd"/>
          </w:p>
        </w:tc>
        <w:tc>
          <w:tcPr>
            <w:tcW w:w="1522" w:type="dxa"/>
            <w:tcBorders>
              <w:bottom w:val="single" w:sz="4" w:space="0" w:color="auto"/>
            </w:tcBorders>
            <w:vAlign w:val="center"/>
          </w:tcPr>
          <w:p w:rsidR="008A1602" w:rsidRPr="008A1602" w:rsidRDefault="008A1602" w:rsidP="008A1602">
            <w:pPr>
              <w:pStyle w:val="TCTableBody"/>
              <w:jc w:val="center"/>
              <w:rPr>
                <w:b/>
                <w:bCs/>
                <w:color w:val="000000"/>
                <w:shd w:val="clear" w:color="auto" w:fill="FFFFFF"/>
              </w:rPr>
            </w:pPr>
            <w:r w:rsidRPr="008A1602">
              <w:rPr>
                <w:b/>
              </w:rPr>
              <w:t>Δ</w:t>
            </w:r>
            <w:r w:rsidRPr="008A1602">
              <w:rPr>
                <w:b/>
                <w:lang w:val="en-US"/>
              </w:rPr>
              <w:t xml:space="preserve">, </w:t>
            </w:r>
            <w:r w:rsidRPr="008A1602">
              <w:rPr>
                <w:b/>
                <w:i/>
              </w:rPr>
              <w:t>Ha</w:t>
            </w:r>
          </w:p>
        </w:tc>
        <w:tc>
          <w:tcPr>
            <w:tcW w:w="1493" w:type="dxa"/>
            <w:tcBorders>
              <w:bottom w:val="single" w:sz="4" w:space="0" w:color="auto"/>
            </w:tcBorders>
            <w:vAlign w:val="center"/>
          </w:tcPr>
          <w:p w:rsidR="008A1602" w:rsidRPr="008A1602" w:rsidRDefault="008A1602" w:rsidP="008A1602">
            <w:pPr>
              <w:pStyle w:val="TCTableBody"/>
              <w:jc w:val="center"/>
              <w:rPr>
                <w:b/>
                <w:bCs/>
                <w:color w:val="000000"/>
                <w:shd w:val="clear" w:color="auto" w:fill="FFFFFF"/>
              </w:rPr>
            </w:pPr>
            <w:r w:rsidRPr="008A1602">
              <w:rPr>
                <w:b/>
                <w:lang w:val="en-US"/>
              </w:rPr>
              <w:t>Q</w:t>
            </w:r>
            <w:r w:rsidRPr="008A1602">
              <w:rPr>
                <w:b/>
                <w:vertAlign w:val="subscript"/>
                <w:lang w:val="en-US"/>
              </w:rPr>
              <w:t>N</w:t>
            </w:r>
            <w:r w:rsidRPr="008A1602">
              <w:rPr>
                <w:b/>
              </w:rPr>
              <w:t xml:space="preserve">, </w:t>
            </w:r>
            <w:r w:rsidRPr="008A1602">
              <w:rPr>
                <w:b/>
                <w:i/>
              </w:rPr>
              <w:t>u</w:t>
            </w:r>
          </w:p>
        </w:tc>
        <w:tc>
          <w:tcPr>
            <w:tcW w:w="1331" w:type="dxa"/>
            <w:tcBorders>
              <w:bottom w:val="single" w:sz="4" w:space="0" w:color="auto"/>
            </w:tcBorders>
            <w:vAlign w:val="center"/>
          </w:tcPr>
          <w:p w:rsidR="008A1602" w:rsidRPr="008A1602" w:rsidRDefault="008A1602" w:rsidP="008A1602">
            <w:pPr>
              <w:pStyle w:val="TCTableBody"/>
              <w:jc w:val="center"/>
              <w:rPr>
                <w:b/>
                <w:bCs/>
                <w:color w:val="000000"/>
                <w:shd w:val="clear" w:color="auto" w:fill="FFFFFF"/>
              </w:rPr>
            </w:pPr>
            <w:proofErr w:type="spellStart"/>
            <w:r w:rsidRPr="008A1602">
              <w:rPr>
                <w:b/>
                <w:lang w:val="en-US"/>
              </w:rPr>
              <w:t>P</w:t>
            </w:r>
            <w:r w:rsidRPr="008A1602">
              <w:rPr>
                <w:b/>
                <w:vertAlign w:val="subscript"/>
                <w:lang w:val="en-US"/>
              </w:rPr>
              <w:t>Ne</w:t>
            </w:r>
            <w:proofErr w:type="spellEnd"/>
          </w:p>
        </w:tc>
        <w:tc>
          <w:tcPr>
            <w:tcW w:w="1690" w:type="dxa"/>
            <w:tcBorders>
              <w:bottom w:val="single" w:sz="4" w:space="0" w:color="auto"/>
            </w:tcBorders>
            <w:vAlign w:val="center"/>
          </w:tcPr>
          <w:p w:rsidR="008A1602" w:rsidRPr="008A1602" w:rsidRDefault="008A1602" w:rsidP="008A1602">
            <w:pPr>
              <w:pStyle w:val="TCTableBody"/>
              <w:jc w:val="center"/>
              <w:rPr>
                <w:b/>
                <w:bCs/>
                <w:color w:val="000000"/>
                <w:shd w:val="clear" w:color="auto" w:fill="FFFFFF"/>
              </w:rPr>
            </w:pPr>
            <w:r w:rsidRPr="008A1602">
              <w:rPr>
                <w:b/>
                <w:lang w:val="en-US"/>
              </w:rPr>
              <w:t xml:space="preserve">I, </w:t>
            </w:r>
            <w:r w:rsidRPr="008A1602">
              <w:rPr>
                <w:b/>
                <w:i/>
              </w:rPr>
              <w:t>Da Å</w:t>
            </w:r>
            <w:r w:rsidRPr="008A1602">
              <w:rPr>
                <w:b/>
                <w:i/>
                <w:vertAlign w:val="superscript"/>
              </w:rPr>
              <w:t>2</w:t>
            </w:r>
          </w:p>
        </w:tc>
      </w:tr>
      <w:tr w:rsidR="008A1602" w:rsidTr="001306E4">
        <w:tc>
          <w:tcPr>
            <w:tcW w:w="9345" w:type="dxa"/>
            <w:gridSpan w:val="6"/>
            <w:tcBorders>
              <w:top w:val="single" w:sz="4" w:space="0" w:color="auto"/>
              <w:bottom w:val="single" w:sz="4" w:space="0" w:color="auto"/>
            </w:tcBorders>
            <w:vAlign w:val="center"/>
          </w:tcPr>
          <w:p w:rsidR="008A1602" w:rsidRPr="005E567E" w:rsidRDefault="008A1602" w:rsidP="008A1602">
            <w:pPr>
              <w:pStyle w:val="TCTableBody"/>
              <w:jc w:val="center"/>
              <w:rPr>
                <w:i/>
                <w:lang w:val="en-US"/>
              </w:rPr>
            </w:pPr>
            <w:r>
              <w:rPr>
                <w:i/>
                <w:lang w:val="en-US"/>
              </w:rPr>
              <w:t>aliphatic</w:t>
            </w:r>
          </w:p>
        </w:tc>
      </w:tr>
      <w:tr w:rsidR="008A1602" w:rsidTr="001306E4">
        <w:tc>
          <w:tcPr>
            <w:tcW w:w="1826" w:type="dxa"/>
            <w:tcBorders>
              <w:top w:val="single" w:sz="4" w:space="0" w:color="auto"/>
              <w:bottom w:val="nil"/>
            </w:tcBorders>
          </w:tcPr>
          <w:p w:rsidR="008A1602" w:rsidRPr="005842A4" w:rsidRDefault="008A1602" w:rsidP="008A1602">
            <w:pPr>
              <w:pStyle w:val="TCTableBody"/>
              <w:jc w:val="center"/>
              <w:rPr>
                <w:bCs/>
                <w:lang w:eastAsia="ru-RU"/>
              </w:rPr>
            </w:pPr>
            <w:r>
              <w:rPr>
                <w:bCs/>
                <w:color w:val="000000"/>
                <w:lang w:eastAsia="ru-RU"/>
              </w:rPr>
              <w:t>A</w:t>
            </w:r>
            <w:r w:rsidRPr="005842A4">
              <w:rPr>
                <w:bCs/>
                <w:color w:val="000000"/>
                <w:lang w:eastAsia="ru-RU"/>
              </w:rPr>
              <w:t>la</w:t>
            </w:r>
          </w:p>
        </w:tc>
        <w:tc>
          <w:tcPr>
            <w:tcW w:w="1483" w:type="dxa"/>
            <w:tcBorders>
              <w:top w:val="single" w:sz="4" w:space="0" w:color="auto"/>
              <w:bottom w:val="nil"/>
            </w:tcBorders>
          </w:tcPr>
          <w:p w:rsidR="008A1602" w:rsidRPr="005842A4" w:rsidRDefault="008A1602" w:rsidP="008A1602">
            <w:pPr>
              <w:pStyle w:val="TCTableBody"/>
              <w:jc w:val="center"/>
              <w:rPr>
                <w:lang w:eastAsia="ru-RU"/>
              </w:rPr>
            </w:pPr>
            <w:r w:rsidRPr="005842A4">
              <w:rPr>
                <w:color w:val="000000"/>
                <w:lang w:eastAsia="ru-RU"/>
              </w:rPr>
              <w:t>0.2799</w:t>
            </w:r>
          </w:p>
        </w:tc>
        <w:tc>
          <w:tcPr>
            <w:tcW w:w="1522" w:type="dxa"/>
            <w:tcBorders>
              <w:top w:val="single" w:sz="4" w:space="0" w:color="auto"/>
              <w:bottom w:val="nil"/>
            </w:tcBorders>
          </w:tcPr>
          <w:p w:rsidR="008A1602" w:rsidRPr="00777711" w:rsidRDefault="008A1602" w:rsidP="008A1602">
            <w:pPr>
              <w:pStyle w:val="TCTableBody"/>
              <w:jc w:val="center"/>
            </w:pPr>
            <w:r w:rsidRPr="00777711">
              <w:rPr>
                <w:color w:val="000000"/>
              </w:rPr>
              <w:t>0.2582</w:t>
            </w:r>
          </w:p>
        </w:tc>
        <w:tc>
          <w:tcPr>
            <w:tcW w:w="1493" w:type="dxa"/>
            <w:tcBorders>
              <w:top w:val="single" w:sz="4" w:space="0" w:color="auto"/>
              <w:bottom w:val="nil"/>
            </w:tcBorders>
          </w:tcPr>
          <w:p w:rsidR="008A1602" w:rsidRPr="00777711" w:rsidRDefault="008A1602" w:rsidP="008A1602">
            <w:pPr>
              <w:pStyle w:val="TCTableBody"/>
              <w:jc w:val="center"/>
            </w:pPr>
            <w:r>
              <w:rPr>
                <w:color w:val="000000"/>
                <w:lang w:val="en-US"/>
              </w:rPr>
              <w:noBreakHyphen/>
            </w:r>
            <w:r w:rsidRPr="00777711">
              <w:rPr>
                <w:color w:val="000000"/>
              </w:rPr>
              <w:t>0.502</w:t>
            </w:r>
          </w:p>
        </w:tc>
        <w:tc>
          <w:tcPr>
            <w:tcW w:w="1331" w:type="dxa"/>
            <w:tcBorders>
              <w:top w:val="single" w:sz="4" w:space="0" w:color="auto"/>
              <w:bottom w:val="nil"/>
            </w:tcBorders>
          </w:tcPr>
          <w:p w:rsidR="008A1602" w:rsidRPr="00777711" w:rsidRDefault="008A1602" w:rsidP="008A1602">
            <w:pPr>
              <w:pStyle w:val="TCTableBody"/>
              <w:jc w:val="center"/>
            </w:pPr>
            <w:r w:rsidRPr="00777711">
              <w:rPr>
                <w:color w:val="000000"/>
              </w:rPr>
              <w:t>0.5574</w:t>
            </w:r>
          </w:p>
        </w:tc>
        <w:tc>
          <w:tcPr>
            <w:tcW w:w="1690" w:type="dxa"/>
            <w:tcBorders>
              <w:top w:val="single" w:sz="4" w:space="0" w:color="auto"/>
              <w:bottom w:val="nil"/>
            </w:tcBorders>
          </w:tcPr>
          <w:p w:rsidR="008A1602" w:rsidRPr="00777711" w:rsidRDefault="008A1602" w:rsidP="008A1602">
            <w:pPr>
              <w:pStyle w:val="TCTableBody"/>
              <w:jc w:val="center"/>
            </w:pPr>
            <w:r w:rsidRPr="00777711">
              <w:rPr>
                <w:color w:val="000000"/>
              </w:rPr>
              <w:t>103.85</w:t>
            </w:r>
          </w:p>
        </w:tc>
      </w:tr>
      <w:tr w:rsidR="008A1602" w:rsidTr="001306E4">
        <w:tc>
          <w:tcPr>
            <w:tcW w:w="1826" w:type="dxa"/>
            <w:tcBorders>
              <w:top w:val="nil"/>
            </w:tcBorders>
          </w:tcPr>
          <w:p w:rsidR="008A1602" w:rsidRPr="005842A4" w:rsidRDefault="008A1602" w:rsidP="008A1602">
            <w:pPr>
              <w:pStyle w:val="TCTableBody"/>
              <w:jc w:val="center"/>
              <w:rPr>
                <w:bCs/>
                <w:lang w:eastAsia="ru-RU"/>
              </w:rPr>
            </w:pPr>
            <w:r>
              <w:rPr>
                <w:bCs/>
                <w:color w:val="000000"/>
                <w:lang w:eastAsia="ru-RU"/>
              </w:rPr>
              <w:t>V</w:t>
            </w:r>
            <w:r w:rsidRPr="005842A4">
              <w:rPr>
                <w:bCs/>
                <w:color w:val="000000"/>
                <w:lang w:eastAsia="ru-RU"/>
              </w:rPr>
              <w:t>al</w:t>
            </w:r>
          </w:p>
        </w:tc>
        <w:tc>
          <w:tcPr>
            <w:tcW w:w="1483" w:type="dxa"/>
            <w:tcBorders>
              <w:top w:val="nil"/>
            </w:tcBorders>
          </w:tcPr>
          <w:p w:rsidR="008A1602" w:rsidRPr="005842A4" w:rsidRDefault="008A1602" w:rsidP="008A1602">
            <w:pPr>
              <w:pStyle w:val="TCTableBody"/>
              <w:jc w:val="center"/>
              <w:rPr>
                <w:lang w:eastAsia="ru-RU"/>
              </w:rPr>
            </w:pPr>
            <w:r w:rsidRPr="005842A4">
              <w:rPr>
                <w:color w:val="000000"/>
                <w:lang w:eastAsia="ru-RU"/>
              </w:rPr>
              <w:t>0.2729</w:t>
            </w:r>
          </w:p>
        </w:tc>
        <w:tc>
          <w:tcPr>
            <w:tcW w:w="1522" w:type="dxa"/>
            <w:tcBorders>
              <w:top w:val="nil"/>
            </w:tcBorders>
          </w:tcPr>
          <w:p w:rsidR="008A1602" w:rsidRPr="00777711" w:rsidRDefault="008A1602" w:rsidP="008A1602">
            <w:pPr>
              <w:pStyle w:val="TCTableBody"/>
              <w:jc w:val="center"/>
            </w:pPr>
            <w:r w:rsidRPr="00777711">
              <w:rPr>
                <w:color w:val="000000"/>
              </w:rPr>
              <w:t>0.2664</w:t>
            </w:r>
          </w:p>
        </w:tc>
        <w:tc>
          <w:tcPr>
            <w:tcW w:w="1493" w:type="dxa"/>
            <w:tcBorders>
              <w:top w:val="nil"/>
            </w:tcBorders>
          </w:tcPr>
          <w:p w:rsidR="008A1602" w:rsidRPr="00777711" w:rsidRDefault="008A1602" w:rsidP="008A1602">
            <w:pPr>
              <w:pStyle w:val="TCTableBody"/>
              <w:jc w:val="center"/>
            </w:pPr>
            <w:r>
              <w:rPr>
                <w:color w:val="000000"/>
                <w:lang w:val="en-US"/>
              </w:rPr>
              <w:noBreakHyphen/>
            </w:r>
            <w:r w:rsidRPr="00777711">
              <w:rPr>
                <w:color w:val="000000"/>
              </w:rPr>
              <w:t>0.503</w:t>
            </w:r>
          </w:p>
        </w:tc>
        <w:tc>
          <w:tcPr>
            <w:tcW w:w="1331" w:type="dxa"/>
            <w:tcBorders>
              <w:top w:val="nil"/>
            </w:tcBorders>
          </w:tcPr>
          <w:p w:rsidR="008A1602" w:rsidRPr="00777711" w:rsidRDefault="008A1602" w:rsidP="008A1602">
            <w:pPr>
              <w:pStyle w:val="TCTableBody"/>
              <w:jc w:val="center"/>
            </w:pPr>
            <w:r w:rsidRPr="00777711">
              <w:rPr>
                <w:color w:val="000000"/>
              </w:rPr>
              <w:t>0.5707</w:t>
            </w:r>
          </w:p>
        </w:tc>
        <w:tc>
          <w:tcPr>
            <w:tcW w:w="1690" w:type="dxa"/>
            <w:tcBorders>
              <w:top w:val="nil"/>
            </w:tcBorders>
          </w:tcPr>
          <w:p w:rsidR="008A1602" w:rsidRPr="00777711" w:rsidRDefault="008A1602" w:rsidP="008A1602">
            <w:pPr>
              <w:pStyle w:val="TCTableBody"/>
              <w:jc w:val="center"/>
            </w:pPr>
            <w:r w:rsidRPr="00777711">
              <w:rPr>
                <w:color w:val="000000"/>
              </w:rPr>
              <w:t>249.92</w:t>
            </w:r>
          </w:p>
        </w:tc>
      </w:tr>
      <w:tr w:rsidR="008A1602" w:rsidTr="001306E4">
        <w:tc>
          <w:tcPr>
            <w:tcW w:w="1826" w:type="dxa"/>
            <w:tcBorders>
              <w:bottom w:val="nil"/>
            </w:tcBorders>
          </w:tcPr>
          <w:p w:rsidR="008A1602" w:rsidRPr="005842A4" w:rsidRDefault="008A1602" w:rsidP="008A1602">
            <w:pPr>
              <w:pStyle w:val="TCTableBody"/>
              <w:jc w:val="center"/>
              <w:rPr>
                <w:bCs/>
                <w:lang w:eastAsia="ru-RU"/>
              </w:rPr>
            </w:pPr>
            <w:r>
              <w:rPr>
                <w:bCs/>
                <w:color w:val="000000"/>
                <w:lang w:eastAsia="ru-RU"/>
              </w:rPr>
              <w:t>L</w:t>
            </w:r>
            <w:r w:rsidRPr="005842A4">
              <w:rPr>
                <w:bCs/>
                <w:color w:val="000000"/>
                <w:lang w:eastAsia="ru-RU"/>
              </w:rPr>
              <w:t>eu</w:t>
            </w:r>
          </w:p>
        </w:tc>
        <w:tc>
          <w:tcPr>
            <w:tcW w:w="1483" w:type="dxa"/>
            <w:tcBorders>
              <w:bottom w:val="nil"/>
            </w:tcBorders>
          </w:tcPr>
          <w:p w:rsidR="008A1602" w:rsidRPr="005842A4" w:rsidRDefault="008A1602" w:rsidP="008A1602">
            <w:pPr>
              <w:pStyle w:val="TCTableBody"/>
              <w:jc w:val="center"/>
              <w:rPr>
                <w:lang w:eastAsia="ru-RU"/>
              </w:rPr>
            </w:pPr>
            <w:r w:rsidRPr="005842A4">
              <w:rPr>
                <w:color w:val="000000"/>
                <w:lang w:eastAsia="ru-RU"/>
              </w:rPr>
              <w:t>0.2729</w:t>
            </w:r>
          </w:p>
        </w:tc>
        <w:tc>
          <w:tcPr>
            <w:tcW w:w="1522" w:type="dxa"/>
            <w:tcBorders>
              <w:bottom w:val="nil"/>
            </w:tcBorders>
          </w:tcPr>
          <w:p w:rsidR="008A1602" w:rsidRPr="00777711" w:rsidRDefault="008A1602" w:rsidP="008A1602">
            <w:pPr>
              <w:pStyle w:val="TCTableBody"/>
              <w:jc w:val="center"/>
            </w:pPr>
            <w:r w:rsidRPr="00777711">
              <w:rPr>
                <w:color w:val="000000"/>
              </w:rPr>
              <w:t>0.2678</w:t>
            </w:r>
          </w:p>
        </w:tc>
        <w:tc>
          <w:tcPr>
            <w:tcW w:w="1493" w:type="dxa"/>
            <w:tcBorders>
              <w:bottom w:val="nil"/>
            </w:tcBorders>
          </w:tcPr>
          <w:p w:rsidR="008A1602" w:rsidRPr="00777711" w:rsidRDefault="008A1602" w:rsidP="008A1602">
            <w:pPr>
              <w:pStyle w:val="TCTableBody"/>
              <w:jc w:val="center"/>
            </w:pPr>
            <w:r>
              <w:rPr>
                <w:color w:val="000000"/>
                <w:lang w:val="en-US"/>
              </w:rPr>
              <w:noBreakHyphen/>
            </w:r>
            <w:r w:rsidRPr="00777711">
              <w:rPr>
                <w:color w:val="000000"/>
              </w:rPr>
              <w:t>0.503</w:t>
            </w:r>
          </w:p>
        </w:tc>
        <w:tc>
          <w:tcPr>
            <w:tcW w:w="1331" w:type="dxa"/>
            <w:tcBorders>
              <w:bottom w:val="nil"/>
            </w:tcBorders>
          </w:tcPr>
          <w:p w:rsidR="008A1602" w:rsidRPr="00777711" w:rsidRDefault="008A1602" w:rsidP="008A1602">
            <w:pPr>
              <w:pStyle w:val="TCTableBody"/>
              <w:jc w:val="center"/>
            </w:pPr>
            <w:r w:rsidRPr="00777711">
              <w:rPr>
                <w:color w:val="000000"/>
              </w:rPr>
              <w:t>0.5741</w:t>
            </w:r>
          </w:p>
        </w:tc>
        <w:tc>
          <w:tcPr>
            <w:tcW w:w="1690" w:type="dxa"/>
            <w:tcBorders>
              <w:bottom w:val="nil"/>
            </w:tcBorders>
          </w:tcPr>
          <w:p w:rsidR="008A1602" w:rsidRPr="00777711" w:rsidRDefault="008A1602" w:rsidP="008A1602">
            <w:pPr>
              <w:pStyle w:val="TCTableBody"/>
              <w:jc w:val="center"/>
            </w:pPr>
            <w:r w:rsidRPr="00777711">
              <w:rPr>
                <w:color w:val="000000"/>
              </w:rPr>
              <w:t>208.47</w:t>
            </w:r>
          </w:p>
        </w:tc>
      </w:tr>
      <w:tr w:rsidR="008A1602" w:rsidTr="001306E4">
        <w:tc>
          <w:tcPr>
            <w:tcW w:w="1826" w:type="dxa"/>
            <w:tcBorders>
              <w:bottom w:val="single" w:sz="4" w:space="0" w:color="auto"/>
            </w:tcBorders>
          </w:tcPr>
          <w:p w:rsidR="008A1602" w:rsidRPr="005842A4" w:rsidRDefault="008A1602" w:rsidP="008A1602">
            <w:pPr>
              <w:pStyle w:val="TCTableBody"/>
              <w:jc w:val="center"/>
              <w:rPr>
                <w:bCs/>
                <w:lang w:eastAsia="ru-RU"/>
              </w:rPr>
            </w:pPr>
            <w:r>
              <w:rPr>
                <w:bCs/>
                <w:color w:val="000000"/>
                <w:lang w:eastAsia="ru-RU"/>
              </w:rPr>
              <w:t>I</w:t>
            </w:r>
            <w:r w:rsidRPr="005842A4">
              <w:rPr>
                <w:bCs/>
                <w:color w:val="000000"/>
                <w:lang w:eastAsia="ru-RU"/>
              </w:rPr>
              <w:t>le</w:t>
            </w:r>
          </w:p>
        </w:tc>
        <w:tc>
          <w:tcPr>
            <w:tcW w:w="1483" w:type="dxa"/>
            <w:tcBorders>
              <w:bottom w:val="single" w:sz="4" w:space="0" w:color="auto"/>
            </w:tcBorders>
          </w:tcPr>
          <w:p w:rsidR="008A1602" w:rsidRPr="005842A4" w:rsidRDefault="008A1602" w:rsidP="008A1602">
            <w:pPr>
              <w:pStyle w:val="TCTableBody"/>
              <w:jc w:val="center"/>
              <w:rPr>
                <w:lang w:eastAsia="ru-RU"/>
              </w:rPr>
            </w:pPr>
            <w:r w:rsidRPr="005842A4">
              <w:rPr>
                <w:color w:val="000000"/>
                <w:lang w:eastAsia="ru-RU"/>
              </w:rPr>
              <w:t>0.2717</w:t>
            </w:r>
          </w:p>
        </w:tc>
        <w:tc>
          <w:tcPr>
            <w:tcW w:w="1522" w:type="dxa"/>
            <w:tcBorders>
              <w:bottom w:val="single" w:sz="4" w:space="0" w:color="auto"/>
            </w:tcBorders>
          </w:tcPr>
          <w:p w:rsidR="008A1602" w:rsidRPr="00777711" w:rsidRDefault="008A1602" w:rsidP="008A1602">
            <w:pPr>
              <w:pStyle w:val="TCTableBody"/>
              <w:jc w:val="center"/>
            </w:pPr>
            <w:r w:rsidRPr="00777711">
              <w:rPr>
                <w:color w:val="000000"/>
              </w:rPr>
              <w:t>0.2662</w:t>
            </w:r>
          </w:p>
        </w:tc>
        <w:tc>
          <w:tcPr>
            <w:tcW w:w="1493" w:type="dxa"/>
            <w:tcBorders>
              <w:bottom w:val="single" w:sz="4" w:space="0" w:color="auto"/>
            </w:tcBorders>
          </w:tcPr>
          <w:p w:rsidR="008A1602" w:rsidRPr="00777711" w:rsidRDefault="008A1602" w:rsidP="008A1602">
            <w:pPr>
              <w:pStyle w:val="TCTableBody"/>
              <w:jc w:val="center"/>
            </w:pPr>
            <w:r>
              <w:rPr>
                <w:color w:val="000000"/>
                <w:lang w:val="en-US"/>
              </w:rPr>
              <w:noBreakHyphen/>
            </w:r>
            <w:r w:rsidRPr="00777711">
              <w:rPr>
                <w:color w:val="000000"/>
              </w:rPr>
              <w:t>0.504</w:t>
            </w:r>
          </w:p>
        </w:tc>
        <w:tc>
          <w:tcPr>
            <w:tcW w:w="1331" w:type="dxa"/>
            <w:tcBorders>
              <w:bottom w:val="single" w:sz="4" w:space="0" w:color="auto"/>
            </w:tcBorders>
          </w:tcPr>
          <w:p w:rsidR="008A1602" w:rsidRPr="00777711" w:rsidRDefault="008A1602" w:rsidP="008A1602">
            <w:pPr>
              <w:pStyle w:val="TCTableBody"/>
              <w:jc w:val="center"/>
            </w:pPr>
            <w:r w:rsidRPr="00777711">
              <w:rPr>
                <w:color w:val="000000"/>
              </w:rPr>
              <w:t>0.574</w:t>
            </w:r>
          </w:p>
        </w:tc>
        <w:tc>
          <w:tcPr>
            <w:tcW w:w="1690" w:type="dxa"/>
            <w:tcBorders>
              <w:bottom w:val="single" w:sz="4" w:space="0" w:color="auto"/>
            </w:tcBorders>
          </w:tcPr>
          <w:p w:rsidR="008A1602" w:rsidRPr="00777711" w:rsidRDefault="008A1602" w:rsidP="008A1602">
            <w:pPr>
              <w:pStyle w:val="TCTableBody"/>
              <w:jc w:val="center"/>
            </w:pPr>
            <w:r w:rsidRPr="00777711">
              <w:rPr>
                <w:color w:val="000000"/>
              </w:rPr>
              <w:t>201.70</w:t>
            </w:r>
          </w:p>
        </w:tc>
      </w:tr>
      <w:tr w:rsidR="008A1602" w:rsidTr="001306E4">
        <w:tc>
          <w:tcPr>
            <w:tcW w:w="9345" w:type="dxa"/>
            <w:gridSpan w:val="6"/>
            <w:tcBorders>
              <w:top w:val="single" w:sz="4" w:space="0" w:color="auto"/>
              <w:bottom w:val="single" w:sz="4" w:space="0" w:color="auto"/>
            </w:tcBorders>
            <w:vAlign w:val="center"/>
          </w:tcPr>
          <w:p w:rsidR="008A1602" w:rsidRPr="005E567E" w:rsidRDefault="008A1602" w:rsidP="008A1602">
            <w:pPr>
              <w:pStyle w:val="TCTableBody"/>
              <w:jc w:val="center"/>
              <w:rPr>
                <w:bCs/>
                <w:i/>
                <w:color w:val="000000"/>
                <w:shd w:val="clear" w:color="auto" w:fill="FFFFFF"/>
                <w:lang w:val="en-US"/>
              </w:rPr>
            </w:pPr>
            <w:r>
              <w:rPr>
                <w:bCs/>
                <w:i/>
                <w:color w:val="000000"/>
                <w:shd w:val="clear" w:color="auto" w:fill="FFFFFF"/>
                <w:lang w:val="en-US"/>
              </w:rPr>
              <w:t>aromatic</w:t>
            </w:r>
          </w:p>
        </w:tc>
      </w:tr>
      <w:tr w:rsidR="008A1602" w:rsidTr="001306E4">
        <w:tc>
          <w:tcPr>
            <w:tcW w:w="1826" w:type="dxa"/>
            <w:tcBorders>
              <w:top w:val="single" w:sz="4" w:space="0" w:color="auto"/>
              <w:bottom w:val="nil"/>
            </w:tcBorders>
          </w:tcPr>
          <w:p w:rsidR="008A1602" w:rsidRPr="005842A4" w:rsidRDefault="008A1602" w:rsidP="008A1602">
            <w:pPr>
              <w:pStyle w:val="TCTableBody"/>
              <w:jc w:val="center"/>
              <w:rPr>
                <w:bCs/>
                <w:lang w:eastAsia="ru-RU"/>
              </w:rPr>
            </w:pPr>
            <w:r>
              <w:rPr>
                <w:bCs/>
                <w:color w:val="000000"/>
                <w:lang w:eastAsia="ru-RU"/>
              </w:rPr>
              <w:t>H</w:t>
            </w:r>
            <w:r w:rsidRPr="005842A4">
              <w:rPr>
                <w:bCs/>
                <w:color w:val="000000"/>
                <w:lang w:eastAsia="ru-RU"/>
              </w:rPr>
              <w:t>is</w:t>
            </w:r>
          </w:p>
        </w:tc>
        <w:tc>
          <w:tcPr>
            <w:tcW w:w="1483" w:type="dxa"/>
            <w:tcBorders>
              <w:top w:val="single" w:sz="4" w:space="0" w:color="auto"/>
              <w:bottom w:val="nil"/>
            </w:tcBorders>
          </w:tcPr>
          <w:p w:rsidR="008A1602" w:rsidRPr="005842A4" w:rsidRDefault="008A1602" w:rsidP="008A1602">
            <w:pPr>
              <w:pStyle w:val="TCTableBody"/>
              <w:jc w:val="center"/>
              <w:rPr>
                <w:lang w:eastAsia="ru-RU"/>
              </w:rPr>
            </w:pPr>
            <w:r w:rsidRPr="005842A4">
              <w:rPr>
                <w:color w:val="000000"/>
                <w:lang w:eastAsia="ru-RU"/>
              </w:rPr>
              <w:t>0.259</w:t>
            </w:r>
          </w:p>
        </w:tc>
        <w:tc>
          <w:tcPr>
            <w:tcW w:w="1522" w:type="dxa"/>
            <w:tcBorders>
              <w:top w:val="single" w:sz="4" w:space="0" w:color="auto"/>
              <w:bottom w:val="nil"/>
            </w:tcBorders>
          </w:tcPr>
          <w:p w:rsidR="008A1602" w:rsidRPr="00777711" w:rsidRDefault="008A1602" w:rsidP="008A1602">
            <w:pPr>
              <w:pStyle w:val="TCTableBody"/>
              <w:jc w:val="center"/>
            </w:pPr>
            <w:r w:rsidRPr="00777711">
              <w:rPr>
                <w:color w:val="000000"/>
              </w:rPr>
              <w:t>0.2128</w:t>
            </w:r>
          </w:p>
        </w:tc>
        <w:tc>
          <w:tcPr>
            <w:tcW w:w="1493" w:type="dxa"/>
            <w:tcBorders>
              <w:top w:val="single" w:sz="4" w:space="0" w:color="auto"/>
              <w:bottom w:val="nil"/>
            </w:tcBorders>
          </w:tcPr>
          <w:p w:rsidR="008A1602" w:rsidRPr="00777711" w:rsidRDefault="008A1602" w:rsidP="008A1602">
            <w:pPr>
              <w:pStyle w:val="TCTableBody"/>
              <w:jc w:val="center"/>
            </w:pPr>
            <w:r>
              <w:rPr>
                <w:color w:val="000000"/>
                <w:lang w:val="en-US"/>
              </w:rPr>
              <w:noBreakHyphen/>
            </w:r>
            <w:r w:rsidRPr="00777711">
              <w:rPr>
                <w:color w:val="000000"/>
              </w:rPr>
              <w:t>0.498</w:t>
            </w:r>
          </w:p>
        </w:tc>
        <w:tc>
          <w:tcPr>
            <w:tcW w:w="1331" w:type="dxa"/>
            <w:tcBorders>
              <w:top w:val="single" w:sz="4" w:space="0" w:color="auto"/>
              <w:bottom w:val="nil"/>
            </w:tcBorders>
          </w:tcPr>
          <w:p w:rsidR="008A1602" w:rsidRPr="00777711" w:rsidRDefault="008A1602" w:rsidP="008A1602">
            <w:pPr>
              <w:pStyle w:val="TCTableBody"/>
              <w:jc w:val="center"/>
            </w:pPr>
            <w:r w:rsidRPr="00777711">
              <w:rPr>
                <w:color w:val="000000"/>
              </w:rPr>
              <w:t>0.7381</w:t>
            </w:r>
          </w:p>
        </w:tc>
        <w:tc>
          <w:tcPr>
            <w:tcW w:w="1690" w:type="dxa"/>
            <w:tcBorders>
              <w:top w:val="single" w:sz="4" w:space="0" w:color="auto"/>
              <w:bottom w:val="nil"/>
            </w:tcBorders>
          </w:tcPr>
          <w:p w:rsidR="008A1602" w:rsidRPr="00777711" w:rsidRDefault="008A1602" w:rsidP="008A1602">
            <w:pPr>
              <w:pStyle w:val="TCTableBody"/>
              <w:jc w:val="center"/>
            </w:pPr>
            <w:r w:rsidRPr="00777711">
              <w:rPr>
                <w:color w:val="000000"/>
              </w:rPr>
              <w:t>648.42</w:t>
            </w:r>
          </w:p>
        </w:tc>
      </w:tr>
      <w:tr w:rsidR="008A1602" w:rsidTr="001306E4">
        <w:tc>
          <w:tcPr>
            <w:tcW w:w="1826" w:type="dxa"/>
            <w:tcBorders>
              <w:top w:val="nil"/>
              <w:bottom w:val="nil"/>
            </w:tcBorders>
          </w:tcPr>
          <w:p w:rsidR="008A1602" w:rsidRPr="005842A4" w:rsidRDefault="008A1602" w:rsidP="008A1602">
            <w:pPr>
              <w:pStyle w:val="TCTableBody"/>
              <w:jc w:val="center"/>
              <w:rPr>
                <w:bCs/>
                <w:lang w:eastAsia="ru-RU"/>
              </w:rPr>
            </w:pPr>
            <w:r>
              <w:rPr>
                <w:bCs/>
                <w:color w:val="000000"/>
                <w:lang w:eastAsia="ru-RU"/>
              </w:rPr>
              <w:t>P</w:t>
            </w:r>
            <w:r w:rsidRPr="005842A4">
              <w:rPr>
                <w:bCs/>
                <w:color w:val="000000"/>
                <w:lang w:eastAsia="ru-RU"/>
              </w:rPr>
              <w:t>he</w:t>
            </w:r>
          </w:p>
        </w:tc>
        <w:tc>
          <w:tcPr>
            <w:tcW w:w="1483" w:type="dxa"/>
            <w:tcBorders>
              <w:top w:val="nil"/>
              <w:bottom w:val="nil"/>
            </w:tcBorders>
          </w:tcPr>
          <w:p w:rsidR="008A1602" w:rsidRPr="005842A4" w:rsidRDefault="008A1602" w:rsidP="008A1602">
            <w:pPr>
              <w:pStyle w:val="TCTableBody"/>
              <w:jc w:val="center"/>
              <w:rPr>
                <w:lang w:eastAsia="ru-RU"/>
              </w:rPr>
            </w:pPr>
            <w:r w:rsidRPr="005842A4">
              <w:rPr>
                <w:color w:val="000000"/>
                <w:lang w:eastAsia="ru-RU"/>
              </w:rPr>
              <w:t>0.265</w:t>
            </w:r>
          </w:p>
        </w:tc>
        <w:tc>
          <w:tcPr>
            <w:tcW w:w="1522" w:type="dxa"/>
            <w:tcBorders>
              <w:top w:val="nil"/>
              <w:bottom w:val="nil"/>
            </w:tcBorders>
          </w:tcPr>
          <w:p w:rsidR="008A1602" w:rsidRPr="00777711" w:rsidRDefault="008A1602" w:rsidP="008A1602">
            <w:pPr>
              <w:pStyle w:val="TCTableBody"/>
              <w:jc w:val="center"/>
            </w:pPr>
            <w:r w:rsidRPr="00777711">
              <w:rPr>
                <w:color w:val="000000"/>
              </w:rPr>
              <w:t>0.2348</w:t>
            </w:r>
          </w:p>
        </w:tc>
        <w:tc>
          <w:tcPr>
            <w:tcW w:w="1493" w:type="dxa"/>
            <w:tcBorders>
              <w:top w:val="nil"/>
              <w:bottom w:val="nil"/>
            </w:tcBorders>
          </w:tcPr>
          <w:p w:rsidR="008A1602" w:rsidRPr="00777711" w:rsidRDefault="008A1602" w:rsidP="008A1602">
            <w:pPr>
              <w:pStyle w:val="TCTableBody"/>
              <w:jc w:val="center"/>
            </w:pPr>
            <w:r>
              <w:rPr>
                <w:color w:val="000000"/>
                <w:lang w:val="en-US"/>
              </w:rPr>
              <w:noBreakHyphen/>
            </w:r>
            <w:r w:rsidRPr="00777711">
              <w:rPr>
                <w:color w:val="000000"/>
              </w:rPr>
              <w:t>0.502</w:t>
            </w:r>
          </w:p>
        </w:tc>
        <w:tc>
          <w:tcPr>
            <w:tcW w:w="1331" w:type="dxa"/>
            <w:tcBorders>
              <w:top w:val="nil"/>
              <w:bottom w:val="nil"/>
            </w:tcBorders>
          </w:tcPr>
          <w:p w:rsidR="008A1602" w:rsidRPr="00777711" w:rsidRDefault="008A1602" w:rsidP="008A1602">
            <w:pPr>
              <w:pStyle w:val="TCTableBody"/>
              <w:jc w:val="center"/>
            </w:pPr>
            <w:r w:rsidRPr="00777711">
              <w:rPr>
                <w:color w:val="000000"/>
              </w:rPr>
              <w:t>0.5734</w:t>
            </w:r>
          </w:p>
        </w:tc>
        <w:tc>
          <w:tcPr>
            <w:tcW w:w="1690" w:type="dxa"/>
            <w:tcBorders>
              <w:top w:val="nil"/>
              <w:bottom w:val="nil"/>
            </w:tcBorders>
          </w:tcPr>
          <w:p w:rsidR="008A1602" w:rsidRPr="00777711" w:rsidRDefault="008A1602" w:rsidP="008A1602">
            <w:pPr>
              <w:pStyle w:val="TCTableBody"/>
              <w:jc w:val="center"/>
            </w:pPr>
            <w:r w:rsidRPr="00777711">
              <w:rPr>
                <w:color w:val="000000"/>
              </w:rPr>
              <w:t>283.40</w:t>
            </w:r>
          </w:p>
        </w:tc>
      </w:tr>
      <w:tr w:rsidR="008A1602" w:rsidTr="001306E4">
        <w:tc>
          <w:tcPr>
            <w:tcW w:w="1826" w:type="dxa"/>
            <w:tcBorders>
              <w:bottom w:val="single" w:sz="4" w:space="0" w:color="auto"/>
            </w:tcBorders>
          </w:tcPr>
          <w:p w:rsidR="008A1602" w:rsidRPr="005842A4" w:rsidRDefault="008A1602" w:rsidP="008A1602">
            <w:pPr>
              <w:pStyle w:val="TCTableBody"/>
              <w:jc w:val="center"/>
              <w:rPr>
                <w:bCs/>
                <w:lang w:eastAsia="ru-RU"/>
              </w:rPr>
            </w:pPr>
            <w:r>
              <w:rPr>
                <w:bCs/>
                <w:color w:val="000000"/>
                <w:lang w:eastAsia="ru-RU"/>
              </w:rPr>
              <w:t>T</w:t>
            </w:r>
            <w:r w:rsidRPr="005842A4">
              <w:rPr>
                <w:bCs/>
                <w:color w:val="000000"/>
                <w:lang w:eastAsia="ru-RU"/>
              </w:rPr>
              <w:t>rp</w:t>
            </w:r>
          </w:p>
        </w:tc>
        <w:tc>
          <w:tcPr>
            <w:tcW w:w="1483" w:type="dxa"/>
            <w:tcBorders>
              <w:bottom w:val="single" w:sz="4" w:space="0" w:color="auto"/>
            </w:tcBorders>
          </w:tcPr>
          <w:p w:rsidR="008A1602" w:rsidRPr="005842A4" w:rsidRDefault="008A1602" w:rsidP="008A1602">
            <w:pPr>
              <w:pStyle w:val="TCTableBody"/>
              <w:jc w:val="center"/>
              <w:rPr>
                <w:bCs/>
                <w:lang w:val="en-US" w:eastAsia="ru-RU"/>
              </w:rPr>
            </w:pPr>
            <w:r w:rsidRPr="00777711">
              <w:rPr>
                <w:bCs/>
                <w:lang w:val="en-US" w:eastAsia="ru-RU"/>
              </w:rPr>
              <w:t>0.2788</w:t>
            </w:r>
          </w:p>
        </w:tc>
        <w:tc>
          <w:tcPr>
            <w:tcW w:w="1522" w:type="dxa"/>
            <w:tcBorders>
              <w:bottom w:val="single" w:sz="4" w:space="0" w:color="auto"/>
            </w:tcBorders>
          </w:tcPr>
          <w:p w:rsidR="008A1602" w:rsidRPr="00777711" w:rsidRDefault="008A1602" w:rsidP="008A1602">
            <w:pPr>
              <w:pStyle w:val="TCTableBody"/>
              <w:jc w:val="center"/>
            </w:pPr>
            <w:r w:rsidRPr="00777711">
              <w:rPr>
                <w:color w:val="000000"/>
              </w:rPr>
              <w:t>0.1918</w:t>
            </w:r>
          </w:p>
        </w:tc>
        <w:tc>
          <w:tcPr>
            <w:tcW w:w="1493" w:type="dxa"/>
            <w:tcBorders>
              <w:bottom w:val="single" w:sz="4" w:space="0" w:color="auto"/>
            </w:tcBorders>
          </w:tcPr>
          <w:p w:rsidR="008A1602" w:rsidRPr="00777711" w:rsidRDefault="008A1602" w:rsidP="008A1602">
            <w:pPr>
              <w:pStyle w:val="TCTableBody"/>
              <w:jc w:val="center"/>
            </w:pPr>
            <w:r>
              <w:rPr>
                <w:color w:val="000000"/>
                <w:lang w:val="en-US"/>
              </w:rPr>
              <w:noBreakHyphen/>
            </w:r>
            <w:r w:rsidRPr="00777711">
              <w:rPr>
                <w:color w:val="000000"/>
              </w:rPr>
              <w:t>0.503</w:t>
            </w:r>
          </w:p>
        </w:tc>
        <w:tc>
          <w:tcPr>
            <w:tcW w:w="1331" w:type="dxa"/>
            <w:tcBorders>
              <w:bottom w:val="single" w:sz="4" w:space="0" w:color="auto"/>
            </w:tcBorders>
          </w:tcPr>
          <w:p w:rsidR="008A1602" w:rsidRPr="00777711" w:rsidRDefault="008A1602" w:rsidP="008A1602">
            <w:pPr>
              <w:pStyle w:val="TCTableBody"/>
              <w:jc w:val="center"/>
            </w:pPr>
            <w:r>
              <w:t>0.5588</w:t>
            </w:r>
          </w:p>
        </w:tc>
        <w:tc>
          <w:tcPr>
            <w:tcW w:w="1690" w:type="dxa"/>
            <w:tcBorders>
              <w:bottom w:val="single" w:sz="4" w:space="0" w:color="auto"/>
            </w:tcBorders>
          </w:tcPr>
          <w:p w:rsidR="008A1602" w:rsidRPr="00777711" w:rsidRDefault="008A1602" w:rsidP="008A1602">
            <w:pPr>
              <w:pStyle w:val="TCTableBody"/>
              <w:jc w:val="center"/>
            </w:pPr>
            <w:r>
              <w:t>178.15</w:t>
            </w:r>
          </w:p>
        </w:tc>
      </w:tr>
      <w:tr w:rsidR="008A1602" w:rsidTr="001306E4">
        <w:tc>
          <w:tcPr>
            <w:tcW w:w="9345" w:type="dxa"/>
            <w:gridSpan w:val="6"/>
            <w:tcBorders>
              <w:top w:val="single" w:sz="4" w:space="0" w:color="auto"/>
              <w:bottom w:val="single" w:sz="4" w:space="0" w:color="auto"/>
            </w:tcBorders>
            <w:vAlign w:val="center"/>
          </w:tcPr>
          <w:p w:rsidR="008A1602" w:rsidRPr="005E567E" w:rsidRDefault="008A1602" w:rsidP="008A1602">
            <w:pPr>
              <w:pStyle w:val="TCTableBody"/>
              <w:jc w:val="center"/>
              <w:rPr>
                <w:bCs/>
                <w:i/>
                <w:color w:val="000000"/>
                <w:shd w:val="clear" w:color="auto" w:fill="FFFFFF"/>
                <w:lang w:val="en-US"/>
              </w:rPr>
            </w:pPr>
            <w:r>
              <w:rPr>
                <w:bCs/>
                <w:i/>
                <w:color w:val="000000"/>
                <w:shd w:val="clear" w:color="auto" w:fill="FFFFFF"/>
                <w:lang w:val="en-US"/>
              </w:rPr>
              <w:t>nonpolar</w:t>
            </w:r>
          </w:p>
        </w:tc>
      </w:tr>
      <w:tr w:rsidR="008A1602" w:rsidTr="001306E4">
        <w:tc>
          <w:tcPr>
            <w:tcW w:w="1826" w:type="dxa"/>
            <w:tcBorders>
              <w:top w:val="single" w:sz="4" w:space="0" w:color="auto"/>
              <w:bottom w:val="nil"/>
            </w:tcBorders>
          </w:tcPr>
          <w:p w:rsidR="008A1602" w:rsidRPr="005842A4" w:rsidRDefault="008A1602" w:rsidP="008A1602">
            <w:pPr>
              <w:pStyle w:val="TCTableBody"/>
              <w:jc w:val="center"/>
              <w:rPr>
                <w:bCs/>
                <w:lang w:eastAsia="ru-RU"/>
              </w:rPr>
            </w:pPr>
            <w:r>
              <w:rPr>
                <w:bCs/>
                <w:color w:val="000000"/>
                <w:lang w:eastAsia="ru-RU"/>
              </w:rPr>
              <w:t>G</w:t>
            </w:r>
            <w:r w:rsidRPr="005842A4">
              <w:rPr>
                <w:bCs/>
                <w:color w:val="000000"/>
                <w:lang w:eastAsia="ru-RU"/>
              </w:rPr>
              <w:t>ly</w:t>
            </w:r>
          </w:p>
        </w:tc>
        <w:tc>
          <w:tcPr>
            <w:tcW w:w="1483" w:type="dxa"/>
            <w:tcBorders>
              <w:top w:val="single" w:sz="4" w:space="0" w:color="auto"/>
              <w:bottom w:val="nil"/>
            </w:tcBorders>
          </w:tcPr>
          <w:p w:rsidR="008A1602" w:rsidRPr="005842A4" w:rsidRDefault="008A1602" w:rsidP="008A1602">
            <w:pPr>
              <w:pStyle w:val="TCTableBody"/>
              <w:jc w:val="center"/>
              <w:rPr>
                <w:lang w:eastAsia="ru-RU"/>
              </w:rPr>
            </w:pPr>
            <w:r w:rsidRPr="005842A4">
              <w:rPr>
                <w:color w:val="000000"/>
                <w:lang w:eastAsia="ru-RU"/>
              </w:rPr>
              <w:t>0.2858</w:t>
            </w:r>
          </w:p>
        </w:tc>
        <w:tc>
          <w:tcPr>
            <w:tcW w:w="1522" w:type="dxa"/>
            <w:tcBorders>
              <w:top w:val="single" w:sz="4" w:space="0" w:color="auto"/>
              <w:bottom w:val="nil"/>
            </w:tcBorders>
          </w:tcPr>
          <w:p w:rsidR="008A1602" w:rsidRPr="00777711" w:rsidRDefault="008A1602" w:rsidP="008A1602">
            <w:pPr>
              <w:pStyle w:val="TCTableBody"/>
              <w:jc w:val="center"/>
            </w:pPr>
            <w:r w:rsidRPr="00777711">
              <w:rPr>
                <w:color w:val="000000"/>
              </w:rPr>
              <w:t>0.2672</w:t>
            </w:r>
          </w:p>
        </w:tc>
        <w:tc>
          <w:tcPr>
            <w:tcW w:w="1493" w:type="dxa"/>
            <w:tcBorders>
              <w:top w:val="single" w:sz="4" w:space="0" w:color="auto"/>
              <w:bottom w:val="nil"/>
            </w:tcBorders>
          </w:tcPr>
          <w:p w:rsidR="008A1602" w:rsidRPr="00777711" w:rsidRDefault="008A1602" w:rsidP="008A1602">
            <w:pPr>
              <w:pStyle w:val="TCTableBody"/>
              <w:jc w:val="center"/>
            </w:pPr>
            <w:r>
              <w:rPr>
                <w:color w:val="000000"/>
                <w:lang w:val="en-US"/>
              </w:rPr>
              <w:noBreakHyphen/>
            </w:r>
            <w:r w:rsidRPr="00777711">
              <w:rPr>
                <w:color w:val="000000"/>
              </w:rPr>
              <w:t>0.524</w:t>
            </w:r>
          </w:p>
        </w:tc>
        <w:tc>
          <w:tcPr>
            <w:tcW w:w="1331" w:type="dxa"/>
            <w:tcBorders>
              <w:top w:val="single" w:sz="4" w:space="0" w:color="auto"/>
              <w:bottom w:val="nil"/>
            </w:tcBorders>
          </w:tcPr>
          <w:p w:rsidR="008A1602" w:rsidRPr="00777711" w:rsidRDefault="008A1602" w:rsidP="008A1602">
            <w:pPr>
              <w:pStyle w:val="TCTableBody"/>
              <w:jc w:val="center"/>
            </w:pPr>
            <w:r w:rsidRPr="00777711">
              <w:rPr>
                <w:color w:val="000000"/>
              </w:rPr>
              <w:t>0.5424</w:t>
            </w:r>
          </w:p>
        </w:tc>
        <w:tc>
          <w:tcPr>
            <w:tcW w:w="1690" w:type="dxa"/>
            <w:tcBorders>
              <w:top w:val="single" w:sz="4" w:space="0" w:color="auto"/>
              <w:bottom w:val="nil"/>
            </w:tcBorders>
          </w:tcPr>
          <w:p w:rsidR="008A1602" w:rsidRPr="00777711" w:rsidRDefault="008A1602" w:rsidP="008A1602">
            <w:pPr>
              <w:pStyle w:val="TCTableBody"/>
              <w:jc w:val="center"/>
            </w:pPr>
            <w:r w:rsidRPr="00777711">
              <w:rPr>
                <w:color w:val="000000"/>
              </w:rPr>
              <w:t>93.22</w:t>
            </w:r>
          </w:p>
        </w:tc>
      </w:tr>
      <w:tr w:rsidR="008A1602" w:rsidTr="001306E4">
        <w:tc>
          <w:tcPr>
            <w:tcW w:w="1826" w:type="dxa"/>
            <w:tcBorders>
              <w:top w:val="nil"/>
              <w:bottom w:val="nil"/>
            </w:tcBorders>
          </w:tcPr>
          <w:p w:rsidR="008A1602" w:rsidRPr="005842A4" w:rsidRDefault="008A1602" w:rsidP="008A1602">
            <w:pPr>
              <w:pStyle w:val="TCTableBody"/>
              <w:jc w:val="center"/>
              <w:rPr>
                <w:bCs/>
                <w:lang w:eastAsia="ru-RU"/>
              </w:rPr>
            </w:pPr>
            <w:r>
              <w:rPr>
                <w:bCs/>
                <w:color w:val="000000"/>
                <w:lang w:eastAsia="ru-RU"/>
              </w:rPr>
              <w:t>P</w:t>
            </w:r>
            <w:r w:rsidRPr="005842A4">
              <w:rPr>
                <w:bCs/>
                <w:color w:val="000000"/>
                <w:lang w:eastAsia="ru-RU"/>
              </w:rPr>
              <w:t>ro</w:t>
            </w:r>
          </w:p>
        </w:tc>
        <w:tc>
          <w:tcPr>
            <w:tcW w:w="1483" w:type="dxa"/>
            <w:tcBorders>
              <w:top w:val="nil"/>
              <w:bottom w:val="nil"/>
            </w:tcBorders>
          </w:tcPr>
          <w:p w:rsidR="008A1602" w:rsidRPr="005842A4" w:rsidRDefault="008A1602" w:rsidP="008A1602">
            <w:pPr>
              <w:pStyle w:val="TCTableBody"/>
              <w:jc w:val="center"/>
              <w:rPr>
                <w:lang w:eastAsia="ru-RU"/>
              </w:rPr>
            </w:pPr>
            <w:r w:rsidRPr="005842A4">
              <w:rPr>
                <w:color w:val="000000"/>
                <w:lang w:eastAsia="ru-RU"/>
              </w:rPr>
              <w:t>0.2695</w:t>
            </w:r>
          </w:p>
        </w:tc>
        <w:tc>
          <w:tcPr>
            <w:tcW w:w="1522" w:type="dxa"/>
            <w:tcBorders>
              <w:top w:val="nil"/>
              <w:bottom w:val="nil"/>
            </w:tcBorders>
          </w:tcPr>
          <w:p w:rsidR="008A1602" w:rsidRPr="00777711" w:rsidRDefault="008A1602" w:rsidP="008A1602">
            <w:pPr>
              <w:pStyle w:val="TCTableBody"/>
              <w:jc w:val="center"/>
            </w:pPr>
            <w:r w:rsidRPr="00777711">
              <w:rPr>
                <w:color w:val="000000"/>
              </w:rPr>
              <w:t>0.2545</w:t>
            </w:r>
          </w:p>
        </w:tc>
        <w:tc>
          <w:tcPr>
            <w:tcW w:w="1493" w:type="dxa"/>
            <w:tcBorders>
              <w:top w:val="nil"/>
              <w:bottom w:val="nil"/>
            </w:tcBorders>
          </w:tcPr>
          <w:p w:rsidR="008A1602" w:rsidRPr="00777711" w:rsidRDefault="008A1602" w:rsidP="008A1602">
            <w:pPr>
              <w:pStyle w:val="TCTableBody"/>
              <w:jc w:val="center"/>
            </w:pPr>
            <w:r>
              <w:rPr>
                <w:color w:val="000000"/>
                <w:lang w:val="en-US"/>
              </w:rPr>
              <w:noBreakHyphen/>
            </w:r>
            <w:r w:rsidRPr="00777711">
              <w:rPr>
                <w:color w:val="000000"/>
              </w:rPr>
              <w:t>0.444</w:t>
            </w:r>
          </w:p>
        </w:tc>
        <w:tc>
          <w:tcPr>
            <w:tcW w:w="1331" w:type="dxa"/>
            <w:tcBorders>
              <w:top w:val="nil"/>
              <w:bottom w:val="nil"/>
            </w:tcBorders>
          </w:tcPr>
          <w:p w:rsidR="008A1602" w:rsidRPr="00777711" w:rsidRDefault="008A1602" w:rsidP="008A1602">
            <w:pPr>
              <w:pStyle w:val="TCTableBody"/>
              <w:jc w:val="center"/>
            </w:pPr>
            <w:r w:rsidRPr="00777711">
              <w:rPr>
                <w:color w:val="000000"/>
              </w:rPr>
              <w:t>0.7039</w:t>
            </w:r>
          </w:p>
        </w:tc>
        <w:tc>
          <w:tcPr>
            <w:tcW w:w="1690" w:type="dxa"/>
            <w:tcBorders>
              <w:top w:val="nil"/>
              <w:bottom w:val="nil"/>
            </w:tcBorders>
          </w:tcPr>
          <w:p w:rsidR="008A1602" w:rsidRPr="00777711" w:rsidRDefault="008A1602" w:rsidP="008A1602">
            <w:pPr>
              <w:pStyle w:val="TCTableBody"/>
              <w:jc w:val="center"/>
            </w:pPr>
            <w:r w:rsidRPr="00777711">
              <w:rPr>
                <w:color w:val="000000"/>
              </w:rPr>
              <w:t>115.60</w:t>
            </w:r>
          </w:p>
        </w:tc>
      </w:tr>
      <w:tr w:rsidR="008A1602" w:rsidTr="001306E4">
        <w:tc>
          <w:tcPr>
            <w:tcW w:w="1826" w:type="dxa"/>
            <w:tcBorders>
              <w:bottom w:val="single" w:sz="4" w:space="0" w:color="auto"/>
            </w:tcBorders>
          </w:tcPr>
          <w:p w:rsidR="008A1602" w:rsidRPr="005842A4" w:rsidRDefault="008A1602" w:rsidP="008A1602">
            <w:pPr>
              <w:pStyle w:val="TCTableBody"/>
              <w:jc w:val="center"/>
              <w:rPr>
                <w:bCs/>
                <w:lang w:eastAsia="ru-RU"/>
              </w:rPr>
            </w:pPr>
            <w:r>
              <w:rPr>
                <w:bCs/>
                <w:color w:val="000000"/>
                <w:lang w:eastAsia="ru-RU"/>
              </w:rPr>
              <w:t>M</w:t>
            </w:r>
            <w:r w:rsidRPr="005842A4">
              <w:rPr>
                <w:bCs/>
                <w:color w:val="000000"/>
                <w:lang w:eastAsia="ru-RU"/>
              </w:rPr>
              <w:t>et</w:t>
            </w:r>
          </w:p>
        </w:tc>
        <w:tc>
          <w:tcPr>
            <w:tcW w:w="1483" w:type="dxa"/>
            <w:tcBorders>
              <w:bottom w:val="single" w:sz="4" w:space="0" w:color="auto"/>
            </w:tcBorders>
          </w:tcPr>
          <w:p w:rsidR="008A1602" w:rsidRPr="005842A4" w:rsidRDefault="008A1602" w:rsidP="008A1602">
            <w:pPr>
              <w:pStyle w:val="TCTableBody"/>
              <w:jc w:val="center"/>
              <w:rPr>
                <w:lang w:eastAsia="ru-RU"/>
              </w:rPr>
            </w:pPr>
            <w:r w:rsidRPr="005842A4">
              <w:rPr>
                <w:color w:val="000000"/>
                <w:lang w:eastAsia="ru-RU"/>
              </w:rPr>
              <w:t>0.2583</w:t>
            </w:r>
          </w:p>
        </w:tc>
        <w:tc>
          <w:tcPr>
            <w:tcW w:w="1522" w:type="dxa"/>
            <w:tcBorders>
              <w:bottom w:val="single" w:sz="4" w:space="0" w:color="auto"/>
            </w:tcBorders>
          </w:tcPr>
          <w:p w:rsidR="008A1602" w:rsidRPr="00777711" w:rsidRDefault="008A1602" w:rsidP="008A1602">
            <w:pPr>
              <w:pStyle w:val="TCTableBody"/>
              <w:jc w:val="center"/>
            </w:pPr>
            <w:r w:rsidRPr="00777711">
              <w:rPr>
                <w:color w:val="000000"/>
              </w:rPr>
              <w:t>0.2171</w:t>
            </w:r>
          </w:p>
        </w:tc>
        <w:tc>
          <w:tcPr>
            <w:tcW w:w="1493" w:type="dxa"/>
            <w:tcBorders>
              <w:bottom w:val="single" w:sz="4" w:space="0" w:color="auto"/>
            </w:tcBorders>
          </w:tcPr>
          <w:p w:rsidR="008A1602" w:rsidRPr="00777711" w:rsidRDefault="008A1602" w:rsidP="008A1602">
            <w:pPr>
              <w:pStyle w:val="TCTableBody"/>
              <w:jc w:val="center"/>
            </w:pPr>
            <w:r>
              <w:rPr>
                <w:color w:val="000000"/>
                <w:lang w:val="en-US"/>
              </w:rPr>
              <w:noBreakHyphen/>
            </w:r>
            <w:r w:rsidRPr="00777711">
              <w:rPr>
                <w:color w:val="000000"/>
              </w:rPr>
              <w:t>0.504</w:t>
            </w:r>
          </w:p>
        </w:tc>
        <w:tc>
          <w:tcPr>
            <w:tcW w:w="1331" w:type="dxa"/>
            <w:tcBorders>
              <w:bottom w:val="single" w:sz="4" w:space="0" w:color="auto"/>
            </w:tcBorders>
          </w:tcPr>
          <w:p w:rsidR="008A1602" w:rsidRPr="00777711" w:rsidRDefault="008A1602" w:rsidP="008A1602">
            <w:pPr>
              <w:pStyle w:val="TCTableBody"/>
              <w:jc w:val="center"/>
            </w:pPr>
            <w:r w:rsidRPr="00777711">
              <w:rPr>
                <w:color w:val="000000"/>
              </w:rPr>
              <w:t>0.5684</w:t>
            </w:r>
          </w:p>
        </w:tc>
        <w:tc>
          <w:tcPr>
            <w:tcW w:w="1690" w:type="dxa"/>
            <w:tcBorders>
              <w:bottom w:val="single" w:sz="4" w:space="0" w:color="auto"/>
            </w:tcBorders>
          </w:tcPr>
          <w:p w:rsidR="008A1602" w:rsidRPr="00777711" w:rsidRDefault="008A1602" w:rsidP="008A1602">
            <w:pPr>
              <w:pStyle w:val="TCTableBody"/>
              <w:jc w:val="center"/>
            </w:pPr>
            <w:r w:rsidRPr="00777711">
              <w:rPr>
                <w:color w:val="000000"/>
              </w:rPr>
              <w:t>177.6</w:t>
            </w:r>
            <w:r>
              <w:rPr>
                <w:color w:val="000000"/>
              </w:rPr>
              <w:t>8</w:t>
            </w:r>
          </w:p>
        </w:tc>
      </w:tr>
      <w:tr w:rsidR="008A1602" w:rsidTr="001306E4">
        <w:tc>
          <w:tcPr>
            <w:tcW w:w="9345" w:type="dxa"/>
            <w:gridSpan w:val="6"/>
            <w:tcBorders>
              <w:top w:val="single" w:sz="4" w:space="0" w:color="auto"/>
              <w:bottom w:val="single" w:sz="4" w:space="0" w:color="auto"/>
            </w:tcBorders>
            <w:vAlign w:val="center"/>
          </w:tcPr>
          <w:p w:rsidR="008A1602" w:rsidRPr="00DD1370" w:rsidRDefault="008A1602" w:rsidP="008A1602">
            <w:pPr>
              <w:pStyle w:val="TCTableBody"/>
              <w:jc w:val="center"/>
              <w:rPr>
                <w:bCs/>
                <w:i/>
                <w:color w:val="000000"/>
                <w:shd w:val="clear" w:color="auto" w:fill="FFFFFF"/>
                <w:lang w:val="en-US"/>
              </w:rPr>
            </w:pPr>
            <w:r>
              <w:rPr>
                <w:bCs/>
                <w:i/>
                <w:color w:val="000000"/>
                <w:shd w:val="clear" w:color="auto" w:fill="FFFFFF"/>
                <w:lang w:val="en-US"/>
              </w:rPr>
              <w:t>polar</w:t>
            </w:r>
          </w:p>
        </w:tc>
      </w:tr>
      <w:tr w:rsidR="008A1602" w:rsidTr="001306E4">
        <w:tc>
          <w:tcPr>
            <w:tcW w:w="1826" w:type="dxa"/>
            <w:tcBorders>
              <w:top w:val="single" w:sz="4" w:space="0" w:color="auto"/>
              <w:bottom w:val="nil"/>
            </w:tcBorders>
          </w:tcPr>
          <w:p w:rsidR="008A1602" w:rsidRPr="005842A4" w:rsidRDefault="008A1602" w:rsidP="008A1602">
            <w:pPr>
              <w:pStyle w:val="TCTableBody"/>
              <w:jc w:val="center"/>
              <w:rPr>
                <w:bCs/>
                <w:lang w:eastAsia="ru-RU"/>
              </w:rPr>
            </w:pPr>
            <w:r>
              <w:rPr>
                <w:bCs/>
                <w:color w:val="000000"/>
                <w:lang w:eastAsia="ru-RU"/>
              </w:rPr>
              <w:t>A</w:t>
            </w:r>
            <w:r w:rsidRPr="005842A4">
              <w:rPr>
                <w:bCs/>
                <w:color w:val="000000"/>
                <w:lang w:eastAsia="ru-RU"/>
              </w:rPr>
              <w:t>sn</w:t>
            </w:r>
          </w:p>
        </w:tc>
        <w:tc>
          <w:tcPr>
            <w:tcW w:w="1483" w:type="dxa"/>
            <w:tcBorders>
              <w:top w:val="single" w:sz="4" w:space="0" w:color="auto"/>
              <w:bottom w:val="nil"/>
            </w:tcBorders>
          </w:tcPr>
          <w:p w:rsidR="008A1602" w:rsidRPr="005842A4" w:rsidRDefault="008A1602" w:rsidP="008A1602">
            <w:pPr>
              <w:pStyle w:val="TCTableBody"/>
              <w:jc w:val="center"/>
              <w:rPr>
                <w:lang w:eastAsia="ru-RU"/>
              </w:rPr>
            </w:pPr>
            <w:r w:rsidRPr="005842A4">
              <w:rPr>
                <w:color w:val="000000"/>
                <w:lang w:eastAsia="ru-RU"/>
              </w:rPr>
              <w:t>0.261</w:t>
            </w:r>
          </w:p>
        </w:tc>
        <w:tc>
          <w:tcPr>
            <w:tcW w:w="1522" w:type="dxa"/>
            <w:tcBorders>
              <w:top w:val="single" w:sz="4" w:space="0" w:color="auto"/>
              <w:bottom w:val="nil"/>
            </w:tcBorders>
          </w:tcPr>
          <w:p w:rsidR="008A1602" w:rsidRPr="00777711" w:rsidRDefault="008A1602" w:rsidP="008A1602">
            <w:pPr>
              <w:pStyle w:val="TCTableBody"/>
              <w:jc w:val="center"/>
            </w:pPr>
            <w:r w:rsidRPr="00777711">
              <w:rPr>
                <w:color w:val="000000"/>
              </w:rPr>
              <w:t>0.2328</w:t>
            </w:r>
          </w:p>
        </w:tc>
        <w:tc>
          <w:tcPr>
            <w:tcW w:w="1493" w:type="dxa"/>
            <w:tcBorders>
              <w:top w:val="single" w:sz="4" w:space="0" w:color="auto"/>
              <w:bottom w:val="nil"/>
            </w:tcBorders>
          </w:tcPr>
          <w:p w:rsidR="008A1602" w:rsidRPr="00777711" w:rsidRDefault="008A1602" w:rsidP="008A1602">
            <w:pPr>
              <w:pStyle w:val="TCTableBody"/>
              <w:jc w:val="center"/>
            </w:pPr>
            <w:r>
              <w:rPr>
                <w:color w:val="000000"/>
                <w:lang w:val="en-US"/>
              </w:rPr>
              <w:noBreakHyphen/>
            </w:r>
            <w:r w:rsidRPr="00777711">
              <w:rPr>
                <w:color w:val="000000"/>
              </w:rPr>
              <w:t>0.503</w:t>
            </w:r>
          </w:p>
        </w:tc>
        <w:tc>
          <w:tcPr>
            <w:tcW w:w="1331" w:type="dxa"/>
            <w:tcBorders>
              <w:top w:val="single" w:sz="4" w:space="0" w:color="auto"/>
              <w:bottom w:val="nil"/>
            </w:tcBorders>
          </w:tcPr>
          <w:p w:rsidR="008A1602" w:rsidRPr="00777711" w:rsidRDefault="008A1602" w:rsidP="008A1602">
            <w:pPr>
              <w:pStyle w:val="TCTableBody"/>
              <w:jc w:val="center"/>
            </w:pPr>
            <w:r w:rsidRPr="00777711">
              <w:rPr>
                <w:color w:val="000000"/>
              </w:rPr>
              <w:t>0.5447</w:t>
            </w:r>
          </w:p>
        </w:tc>
        <w:tc>
          <w:tcPr>
            <w:tcW w:w="1690" w:type="dxa"/>
            <w:tcBorders>
              <w:top w:val="single" w:sz="4" w:space="0" w:color="auto"/>
              <w:bottom w:val="nil"/>
            </w:tcBorders>
          </w:tcPr>
          <w:p w:rsidR="008A1602" w:rsidRPr="00777711" w:rsidRDefault="008A1602" w:rsidP="008A1602">
            <w:pPr>
              <w:pStyle w:val="TCTableBody"/>
              <w:jc w:val="center"/>
            </w:pPr>
            <w:r w:rsidRPr="00777711">
              <w:rPr>
                <w:color w:val="000000"/>
              </w:rPr>
              <w:t>177.56</w:t>
            </w:r>
          </w:p>
        </w:tc>
      </w:tr>
      <w:tr w:rsidR="008A1602" w:rsidTr="001306E4">
        <w:tc>
          <w:tcPr>
            <w:tcW w:w="1826" w:type="dxa"/>
            <w:tcBorders>
              <w:top w:val="nil"/>
            </w:tcBorders>
          </w:tcPr>
          <w:p w:rsidR="008A1602" w:rsidRPr="005842A4" w:rsidRDefault="008A1602" w:rsidP="008A1602">
            <w:pPr>
              <w:pStyle w:val="TCTableBody"/>
              <w:jc w:val="center"/>
              <w:rPr>
                <w:bCs/>
                <w:lang w:eastAsia="ru-RU"/>
              </w:rPr>
            </w:pPr>
            <w:r>
              <w:rPr>
                <w:bCs/>
                <w:color w:val="000000"/>
                <w:lang w:eastAsia="ru-RU"/>
              </w:rPr>
              <w:t>G</w:t>
            </w:r>
            <w:r w:rsidRPr="005842A4">
              <w:rPr>
                <w:bCs/>
                <w:color w:val="000000"/>
                <w:lang w:eastAsia="ru-RU"/>
              </w:rPr>
              <w:t>ln</w:t>
            </w:r>
          </w:p>
        </w:tc>
        <w:tc>
          <w:tcPr>
            <w:tcW w:w="1483" w:type="dxa"/>
            <w:tcBorders>
              <w:top w:val="nil"/>
            </w:tcBorders>
          </w:tcPr>
          <w:p w:rsidR="008A1602" w:rsidRPr="005842A4" w:rsidRDefault="008A1602" w:rsidP="008A1602">
            <w:pPr>
              <w:pStyle w:val="TCTableBody"/>
              <w:jc w:val="center"/>
              <w:rPr>
                <w:lang w:eastAsia="ru-RU"/>
              </w:rPr>
            </w:pPr>
            <w:r w:rsidRPr="005842A4">
              <w:rPr>
                <w:color w:val="000000"/>
                <w:lang w:eastAsia="ru-RU"/>
              </w:rPr>
              <w:t>0.2583</w:t>
            </w:r>
          </w:p>
        </w:tc>
        <w:tc>
          <w:tcPr>
            <w:tcW w:w="1522" w:type="dxa"/>
            <w:tcBorders>
              <w:top w:val="nil"/>
            </w:tcBorders>
          </w:tcPr>
          <w:p w:rsidR="008A1602" w:rsidRPr="00777711" w:rsidRDefault="008A1602" w:rsidP="008A1602">
            <w:pPr>
              <w:pStyle w:val="TCTableBody"/>
              <w:jc w:val="center"/>
            </w:pPr>
            <w:r w:rsidRPr="00777711">
              <w:rPr>
                <w:color w:val="000000"/>
              </w:rPr>
              <w:t>0.2510</w:t>
            </w:r>
          </w:p>
        </w:tc>
        <w:tc>
          <w:tcPr>
            <w:tcW w:w="1493" w:type="dxa"/>
            <w:tcBorders>
              <w:top w:val="nil"/>
            </w:tcBorders>
          </w:tcPr>
          <w:p w:rsidR="008A1602" w:rsidRPr="00777711" w:rsidRDefault="008A1602" w:rsidP="008A1602">
            <w:pPr>
              <w:pStyle w:val="TCTableBody"/>
              <w:jc w:val="center"/>
            </w:pPr>
            <w:r>
              <w:rPr>
                <w:color w:val="000000"/>
                <w:lang w:val="en-US"/>
              </w:rPr>
              <w:noBreakHyphen/>
            </w:r>
            <w:r w:rsidRPr="00777711">
              <w:rPr>
                <w:color w:val="000000"/>
              </w:rPr>
              <w:t>0.503</w:t>
            </w:r>
          </w:p>
        </w:tc>
        <w:tc>
          <w:tcPr>
            <w:tcW w:w="1331" w:type="dxa"/>
            <w:tcBorders>
              <w:top w:val="nil"/>
            </w:tcBorders>
          </w:tcPr>
          <w:p w:rsidR="008A1602" w:rsidRPr="00777711" w:rsidRDefault="008A1602" w:rsidP="008A1602">
            <w:pPr>
              <w:pStyle w:val="TCTableBody"/>
              <w:jc w:val="center"/>
            </w:pPr>
            <w:r w:rsidRPr="00777711">
              <w:rPr>
                <w:color w:val="000000"/>
              </w:rPr>
              <w:t>0.5588</w:t>
            </w:r>
          </w:p>
        </w:tc>
        <w:tc>
          <w:tcPr>
            <w:tcW w:w="1690" w:type="dxa"/>
            <w:tcBorders>
              <w:top w:val="nil"/>
            </w:tcBorders>
          </w:tcPr>
          <w:p w:rsidR="008A1602" w:rsidRPr="00777711" w:rsidRDefault="008A1602" w:rsidP="008A1602">
            <w:pPr>
              <w:pStyle w:val="TCTableBody"/>
              <w:jc w:val="center"/>
            </w:pPr>
            <w:r w:rsidRPr="00777711">
              <w:rPr>
                <w:color w:val="000000"/>
              </w:rPr>
              <w:t>218.58</w:t>
            </w:r>
          </w:p>
        </w:tc>
      </w:tr>
      <w:tr w:rsidR="008A1602" w:rsidTr="001306E4">
        <w:tc>
          <w:tcPr>
            <w:tcW w:w="1826" w:type="dxa"/>
            <w:tcBorders>
              <w:bottom w:val="nil"/>
            </w:tcBorders>
          </w:tcPr>
          <w:p w:rsidR="008A1602" w:rsidRPr="005842A4" w:rsidRDefault="008A1602" w:rsidP="008A1602">
            <w:pPr>
              <w:pStyle w:val="TCTableBody"/>
              <w:jc w:val="center"/>
              <w:rPr>
                <w:bCs/>
                <w:lang w:eastAsia="ru-RU"/>
              </w:rPr>
            </w:pPr>
            <w:r>
              <w:rPr>
                <w:bCs/>
                <w:color w:val="000000"/>
                <w:lang w:eastAsia="ru-RU"/>
              </w:rPr>
              <w:lastRenderedPageBreak/>
              <w:t>S</w:t>
            </w:r>
            <w:r w:rsidRPr="005842A4">
              <w:rPr>
                <w:bCs/>
                <w:color w:val="000000"/>
                <w:lang w:eastAsia="ru-RU"/>
              </w:rPr>
              <w:t>er</w:t>
            </w:r>
          </w:p>
        </w:tc>
        <w:tc>
          <w:tcPr>
            <w:tcW w:w="1483" w:type="dxa"/>
            <w:tcBorders>
              <w:bottom w:val="nil"/>
            </w:tcBorders>
          </w:tcPr>
          <w:p w:rsidR="008A1602" w:rsidRPr="005842A4" w:rsidRDefault="008A1602" w:rsidP="008A1602">
            <w:pPr>
              <w:pStyle w:val="TCTableBody"/>
              <w:jc w:val="center"/>
              <w:rPr>
                <w:lang w:eastAsia="ru-RU"/>
              </w:rPr>
            </w:pPr>
            <w:r w:rsidRPr="005842A4">
              <w:rPr>
                <w:color w:val="000000"/>
                <w:lang w:eastAsia="ru-RU"/>
              </w:rPr>
              <w:t>0.2738</w:t>
            </w:r>
          </w:p>
        </w:tc>
        <w:tc>
          <w:tcPr>
            <w:tcW w:w="1522" w:type="dxa"/>
            <w:tcBorders>
              <w:bottom w:val="nil"/>
            </w:tcBorders>
          </w:tcPr>
          <w:p w:rsidR="008A1602" w:rsidRPr="00777711" w:rsidRDefault="008A1602" w:rsidP="008A1602">
            <w:pPr>
              <w:pStyle w:val="TCTableBody"/>
              <w:jc w:val="center"/>
            </w:pPr>
            <w:r w:rsidRPr="00777711">
              <w:rPr>
                <w:color w:val="000000"/>
              </w:rPr>
              <w:t>0.2523</w:t>
            </w:r>
          </w:p>
        </w:tc>
        <w:tc>
          <w:tcPr>
            <w:tcW w:w="1493" w:type="dxa"/>
            <w:tcBorders>
              <w:bottom w:val="nil"/>
            </w:tcBorders>
          </w:tcPr>
          <w:p w:rsidR="008A1602" w:rsidRPr="00777711" w:rsidRDefault="008A1602" w:rsidP="008A1602">
            <w:pPr>
              <w:pStyle w:val="TCTableBody"/>
              <w:jc w:val="center"/>
            </w:pPr>
            <w:r>
              <w:rPr>
                <w:color w:val="000000"/>
                <w:lang w:val="en-US"/>
              </w:rPr>
              <w:noBreakHyphen/>
            </w:r>
            <w:r w:rsidRPr="00777711">
              <w:rPr>
                <w:color w:val="000000"/>
              </w:rPr>
              <w:t>0.504</w:t>
            </w:r>
          </w:p>
        </w:tc>
        <w:tc>
          <w:tcPr>
            <w:tcW w:w="1331" w:type="dxa"/>
            <w:tcBorders>
              <w:bottom w:val="nil"/>
            </w:tcBorders>
          </w:tcPr>
          <w:p w:rsidR="008A1602" w:rsidRPr="00777711" w:rsidRDefault="008A1602" w:rsidP="008A1602">
            <w:pPr>
              <w:pStyle w:val="TCTableBody"/>
              <w:jc w:val="center"/>
            </w:pPr>
            <w:r w:rsidRPr="00777711">
              <w:rPr>
                <w:color w:val="000000"/>
              </w:rPr>
              <w:t>0.5576</w:t>
            </w:r>
          </w:p>
        </w:tc>
        <w:tc>
          <w:tcPr>
            <w:tcW w:w="1690" w:type="dxa"/>
            <w:tcBorders>
              <w:bottom w:val="nil"/>
            </w:tcBorders>
          </w:tcPr>
          <w:p w:rsidR="008A1602" w:rsidRPr="00777711" w:rsidRDefault="008A1602" w:rsidP="008A1602">
            <w:pPr>
              <w:pStyle w:val="TCTableBody"/>
              <w:jc w:val="center"/>
            </w:pPr>
            <w:r w:rsidRPr="00777711">
              <w:rPr>
                <w:color w:val="000000"/>
              </w:rPr>
              <w:t>177.5</w:t>
            </w:r>
            <w:r>
              <w:rPr>
                <w:color w:val="000000"/>
              </w:rPr>
              <w:t>0</w:t>
            </w:r>
          </w:p>
        </w:tc>
      </w:tr>
      <w:tr w:rsidR="008A1602" w:rsidTr="001306E4">
        <w:tc>
          <w:tcPr>
            <w:tcW w:w="1826" w:type="dxa"/>
            <w:tcBorders>
              <w:bottom w:val="single" w:sz="4" w:space="0" w:color="auto"/>
            </w:tcBorders>
          </w:tcPr>
          <w:p w:rsidR="008A1602" w:rsidRPr="005842A4" w:rsidRDefault="008A1602" w:rsidP="008A1602">
            <w:pPr>
              <w:pStyle w:val="TCTableBody"/>
              <w:jc w:val="center"/>
              <w:rPr>
                <w:bCs/>
                <w:lang w:eastAsia="ru-RU"/>
              </w:rPr>
            </w:pPr>
            <w:r>
              <w:rPr>
                <w:bCs/>
                <w:color w:val="000000"/>
                <w:lang w:eastAsia="ru-RU"/>
              </w:rPr>
              <w:t>T</w:t>
            </w:r>
            <w:r w:rsidRPr="005842A4">
              <w:rPr>
                <w:bCs/>
                <w:color w:val="000000"/>
                <w:lang w:eastAsia="ru-RU"/>
              </w:rPr>
              <w:t>hr</w:t>
            </w:r>
          </w:p>
        </w:tc>
        <w:tc>
          <w:tcPr>
            <w:tcW w:w="1483" w:type="dxa"/>
            <w:tcBorders>
              <w:bottom w:val="single" w:sz="4" w:space="0" w:color="auto"/>
            </w:tcBorders>
          </w:tcPr>
          <w:p w:rsidR="008A1602" w:rsidRPr="005842A4" w:rsidRDefault="008A1602" w:rsidP="008A1602">
            <w:pPr>
              <w:pStyle w:val="TCTableBody"/>
              <w:jc w:val="center"/>
              <w:rPr>
                <w:lang w:eastAsia="ru-RU"/>
              </w:rPr>
            </w:pPr>
            <w:r w:rsidRPr="005842A4">
              <w:rPr>
                <w:color w:val="000000"/>
                <w:lang w:eastAsia="ru-RU"/>
              </w:rPr>
              <w:t>0.2687</w:t>
            </w:r>
          </w:p>
        </w:tc>
        <w:tc>
          <w:tcPr>
            <w:tcW w:w="1522" w:type="dxa"/>
            <w:tcBorders>
              <w:bottom w:val="single" w:sz="4" w:space="0" w:color="auto"/>
            </w:tcBorders>
          </w:tcPr>
          <w:p w:rsidR="008A1602" w:rsidRPr="00777711" w:rsidRDefault="008A1602" w:rsidP="008A1602">
            <w:pPr>
              <w:pStyle w:val="TCTableBody"/>
              <w:jc w:val="center"/>
            </w:pPr>
            <w:r w:rsidRPr="00777711">
              <w:rPr>
                <w:color w:val="000000"/>
              </w:rPr>
              <w:t>0.2599</w:t>
            </w:r>
          </w:p>
        </w:tc>
        <w:tc>
          <w:tcPr>
            <w:tcW w:w="1493" w:type="dxa"/>
            <w:tcBorders>
              <w:bottom w:val="single" w:sz="4" w:space="0" w:color="auto"/>
            </w:tcBorders>
          </w:tcPr>
          <w:p w:rsidR="008A1602" w:rsidRPr="00777711" w:rsidRDefault="008A1602" w:rsidP="008A1602">
            <w:pPr>
              <w:pStyle w:val="TCTableBody"/>
              <w:jc w:val="center"/>
            </w:pPr>
            <w:r>
              <w:rPr>
                <w:color w:val="000000"/>
                <w:lang w:val="en-US"/>
              </w:rPr>
              <w:noBreakHyphen/>
            </w:r>
            <w:r w:rsidRPr="00777711">
              <w:rPr>
                <w:color w:val="000000"/>
              </w:rPr>
              <w:t>0.501</w:t>
            </w:r>
          </w:p>
        </w:tc>
        <w:tc>
          <w:tcPr>
            <w:tcW w:w="1331" w:type="dxa"/>
            <w:tcBorders>
              <w:bottom w:val="single" w:sz="4" w:space="0" w:color="auto"/>
            </w:tcBorders>
          </w:tcPr>
          <w:p w:rsidR="008A1602" w:rsidRPr="00777711" w:rsidRDefault="008A1602" w:rsidP="008A1602">
            <w:pPr>
              <w:pStyle w:val="TCTableBody"/>
              <w:jc w:val="center"/>
            </w:pPr>
            <w:r w:rsidRPr="00777711">
              <w:rPr>
                <w:color w:val="000000"/>
              </w:rPr>
              <w:t>0.5679</w:t>
            </w:r>
          </w:p>
        </w:tc>
        <w:tc>
          <w:tcPr>
            <w:tcW w:w="1690" w:type="dxa"/>
            <w:tcBorders>
              <w:bottom w:val="single" w:sz="4" w:space="0" w:color="auto"/>
            </w:tcBorders>
          </w:tcPr>
          <w:p w:rsidR="008A1602" w:rsidRPr="00777711" w:rsidRDefault="008A1602" w:rsidP="008A1602">
            <w:pPr>
              <w:pStyle w:val="TCTableBody"/>
              <w:jc w:val="center"/>
            </w:pPr>
            <w:r w:rsidRPr="00777711">
              <w:rPr>
                <w:color w:val="000000"/>
              </w:rPr>
              <w:t>219.6</w:t>
            </w:r>
            <w:r>
              <w:rPr>
                <w:color w:val="000000"/>
              </w:rPr>
              <w:t>4</w:t>
            </w:r>
          </w:p>
        </w:tc>
      </w:tr>
      <w:tr w:rsidR="008A1602" w:rsidTr="001306E4">
        <w:tc>
          <w:tcPr>
            <w:tcW w:w="9345" w:type="dxa"/>
            <w:gridSpan w:val="6"/>
            <w:tcBorders>
              <w:top w:val="single" w:sz="4" w:space="0" w:color="auto"/>
              <w:bottom w:val="single" w:sz="4" w:space="0" w:color="auto"/>
            </w:tcBorders>
          </w:tcPr>
          <w:p w:rsidR="008A1602" w:rsidRPr="00DD1370" w:rsidRDefault="008A1602" w:rsidP="008A1602">
            <w:pPr>
              <w:pStyle w:val="TCTableBody"/>
              <w:jc w:val="center"/>
              <w:rPr>
                <w:i/>
                <w:color w:val="000000"/>
                <w:lang w:val="en-US"/>
              </w:rPr>
            </w:pPr>
            <w:r>
              <w:rPr>
                <w:i/>
                <w:color w:val="000000"/>
                <w:lang w:val="en-US"/>
              </w:rPr>
              <w:t>charged</w:t>
            </w:r>
          </w:p>
        </w:tc>
      </w:tr>
      <w:tr w:rsidR="008A1602" w:rsidTr="001306E4">
        <w:tc>
          <w:tcPr>
            <w:tcW w:w="1826" w:type="dxa"/>
            <w:tcBorders>
              <w:top w:val="single" w:sz="4" w:space="0" w:color="auto"/>
              <w:bottom w:val="nil"/>
            </w:tcBorders>
          </w:tcPr>
          <w:p w:rsidR="008A1602" w:rsidRPr="005842A4" w:rsidRDefault="008A1602" w:rsidP="008A1602">
            <w:pPr>
              <w:pStyle w:val="TCTableBody"/>
              <w:jc w:val="center"/>
              <w:rPr>
                <w:bCs/>
                <w:lang w:eastAsia="ru-RU"/>
              </w:rPr>
            </w:pPr>
            <w:r>
              <w:rPr>
                <w:bCs/>
                <w:color w:val="000000"/>
                <w:lang w:eastAsia="ru-RU"/>
              </w:rPr>
              <w:t>L</w:t>
            </w:r>
            <w:r w:rsidRPr="005842A4">
              <w:rPr>
                <w:bCs/>
                <w:color w:val="000000"/>
                <w:lang w:eastAsia="ru-RU"/>
              </w:rPr>
              <w:t>ys</w:t>
            </w:r>
          </w:p>
        </w:tc>
        <w:tc>
          <w:tcPr>
            <w:tcW w:w="1483" w:type="dxa"/>
            <w:tcBorders>
              <w:top w:val="single" w:sz="4" w:space="0" w:color="auto"/>
              <w:bottom w:val="nil"/>
            </w:tcBorders>
          </w:tcPr>
          <w:p w:rsidR="008A1602" w:rsidRPr="005842A4" w:rsidRDefault="008A1602" w:rsidP="008A1602">
            <w:pPr>
              <w:pStyle w:val="TCTableBody"/>
              <w:jc w:val="center"/>
              <w:rPr>
                <w:lang w:eastAsia="ru-RU"/>
              </w:rPr>
            </w:pPr>
            <w:r w:rsidRPr="005842A4">
              <w:rPr>
                <w:color w:val="000000"/>
                <w:lang w:eastAsia="ru-RU"/>
              </w:rPr>
              <w:t>0.2814</w:t>
            </w:r>
          </w:p>
        </w:tc>
        <w:tc>
          <w:tcPr>
            <w:tcW w:w="1522" w:type="dxa"/>
            <w:tcBorders>
              <w:top w:val="single" w:sz="4" w:space="0" w:color="auto"/>
              <w:bottom w:val="nil"/>
            </w:tcBorders>
          </w:tcPr>
          <w:p w:rsidR="008A1602" w:rsidRPr="00777711" w:rsidRDefault="008A1602" w:rsidP="008A1602">
            <w:pPr>
              <w:pStyle w:val="TCTableBody"/>
              <w:jc w:val="center"/>
            </w:pPr>
            <w:r w:rsidRPr="00777711">
              <w:rPr>
                <w:color w:val="000000"/>
              </w:rPr>
              <w:t>0.2461</w:t>
            </w:r>
          </w:p>
        </w:tc>
        <w:tc>
          <w:tcPr>
            <w:tcW w:w="1493" w:type="dxa"/>
            <w:tcBorders>
              <w:top w:val="single" w:sz="4" w:space="0" w:color="auto"/>
              <w:bottom w:val="nil"/>
            </w:tcBorders>
          </w:tcPr>
          <w:p w:rsidR="008A1602" w:rsidRPr="00777711" w:rsidRDefault="008A1602" w:rsidP="008A1602">
            <w:pPr>
              <w:pStyle w:val="TCTableBody"/>
              <w:jc w:val="center"/>
            </w:pPr>
            <w:r>
              <w:rPr>
                <w:color w:val="000000"/>
                <w:lang w:val="en-US"/>
              </w:rPr>
              <w:noBreakHyphen/>
            </w:r>
            <w:r w:rsidRPr="00777711">
              <w:rPr>
                <w:color w:val="000000"/>
              </w:rPr>
              <w:t>0.503</w:t>
            </w:r>
          </w:p>
        </w:tc>
        <w:tc>
          <w:tcPr>
            <w:tcW w:w="1331" w:type="dxa"/>
            <w:tcBorders>
              <w:top w:val="single" w:sz="4" w:space="0" w:color="auto"/>
              <w:bottom w:val="nil"/>
            </w:tcBorders>
          </w:tcPr>
          <w:p w:rsidR="008A1602" w:rsidRPr="00777711" w:rsidRDefault="008A1602" w:rsidP="008A1602">
            <w:pPr>
              <w:pStyle w:val="TCTableBody"/>
              <w:jc w:val="center"/>
            </w:pPr>
            <w:r w:rsidRPr="00777711">
              <w:rPr>
                <w:color w:val="000000"/>
              </w:rPr>
              <w:t>0.5646</w:t>
            </w:r>
          </w:p>
        </w:tc>
        <w:tc>
          <w:tcPr>
            <w:tcW w:w="1690" w:type="dxa"/>
            <w:tcBorders>
              <w:top w:val="single" w:sz="4" w:space="0" w:color="auto"/>
              <w:bottom w:val="nil"/>
            </w:tcBorders>
          </w:tcPr>
          <w:p w:rsidR="008A1602" w:rsidRPr="00777711" w:rsidRDefault="008A1602" w:rsidP="008A1602">
            <w:pPr>
              <w:pStyle w:val="TCTableBody"/>
              <w:jc w:val="center"/>
            </w:pPr>
            <w:r w:rsidRPr="00777711">
              <w:rPr>
                <w:color w:val="000000"/>
              </w:rPr>
              <w:t>166.13</w:t>
            </w:r>
          </w:p>
        </w:tc>
      </w:tr>
      <w:tr w:rsidR="008A1602" w:rsidTr="001306E4">
        <w:tc>
          <w:tcPr>
            <w:tcW w:w="1826" w:type="dxa"/>
            <w:tcBorders>
              <w:top w:val="nil"/>
            </w:tcBorders>
          </w:tcPr>
          <w:p w:rsidR="008A1602" w:rsidRPr="005842A4" w:rsidRDefault="008A1602" w:rsidP="008A1602">
            <w:pPr>
              <w:pStyle w:val="TCTableBody"/>
              <w:jc w:val="center"/>
              <w:rPr>
                <w:bCs/>
                <w:lang w:eastAsia="ru-RU"/>
              </w:rPr>
            </w:pPr>
            <w:r>
              <w:rPr>
                <w:bCs/>
                <w:color w:val="000000"/>
                <w:lang w:eastAsia="ru-RU"/>
              </w:rPr>
              <w:t>A</w:t>
            </w:r>
            <w:r w:rsidRPr="005842A4">
              <w:rPr>
                <w:bCs/>
                <w:color w:val="000000"/>
                <w:lang w:eastAsia="ru-RU"/>
              </w:rPr>
              <w:t>rg</w:t>
            </w:r>
          </w:p>
        </w:tc>
        <w:tc>
          <w:tcPr>
            <w:tcW w:w="1483" w:type="dxa"/>
            <w:tcBorders>
              <w:top w:val="nil"/>
            </w:tcBorders>
          </w:tcPr>
          <w:p w:rsidR="008A1602" w:rsidRPr="005842A4" w:rsidRDefault="008A1602" w:rsidP="008A1602">
            <w:pPr>
              <w:pStyle w:val="TCTableBody"/>
              <w:jc w:val="center"/>
              <w:rPr>
                <w:lang w:eastAsia="ru-RU"/>
              </w:rPr>
            </w:pPr>
            <w:r w:rsidRPr="005842A4">
              <w:rPr>
                <w:color w:val="000000"/>
                <w:lang w:eastAsia="ru-RU"/>
              </w:rPr>
              <w:t>0.2748</w:t>
            </w:r>
          </w:p>
        </w:tc>
        <w:tc>
          <w:tcPr>
            <w:tcW w:w="1522" w:type="dxa"/>
            <w:tcBorders>
              <w:top w:val="nil"/>
            </w:tcBorders>
          </w:tcPr>
          <w:p w:rsidR="008A1602" w:rsidRPr="00777711" w:rsidRDefault="008A1602" w:rsidP="008A1602">
            <w:pPr>
              <w:pStyle w:val="TCTableBody"/>
              <w:jc w:val="center"/>
            </w:pPr>
            <w:r w:rsidRPr="00777711">
              <w:rPr>
                <w:color w:val="000000"/>
              </w:rPr>
              <w:t>0.2315</w:t>
            </w:r>
          </w:p>
        </w:tc>
        <w:tc>
          <w:tcPr>
            <w:tcW w:w="1493" w:type="dxa"/>
            <w:tcBorders>
              <w:top w:val="nil"/>
            </w:tcBorders>
          </w:tcPr>
          <w:p w:rsidR="008A1602" w:rsidRPr="00777711" w:rsidRDefault="008A1602" w:rsidP="008A1602">
            <w:pPr>
              <w:pStyle w:val="TCTableBody"/>
              <w:jc w:val="center"/>
            </w:pPr>
            <w:r>
              <w:rPr>
                <w:color w:val="000000"/>
                <w:lang w:val="en-US"/>
              </w:rPr>
              <w:noBreakHyphen/>
            </w:r>
            <w:r w:rsidRPr="00777711">
              <w:rPr>
                <w:color w:val="000000"/>
              </w:rPr>
              <w:t>0.505</w:t>
            </w:r>
          </w:p>
        </w:tc>
        <w:tc>
          <w:tcPr>
            <w:tcW w:w="1331" w:type="dxa"/>
            <w:tcBorders>
              <w:top w:val="nil"/>
            </w:tcBorders>
          </w:tcPr>
          <w:p w:rsidR="008A1602" w:rsidRPr="00777711" w:rsidRDefault="008A1602" w:rsidP="008A1602">
            <w:pPr>
              <w:pStyle w:val="TCTableBody"/>
              <w:jc w:val="center"/>
            </w:pPr>
            <w:r w:rsidRPr="00777711">
              <w:rPr>
                <w:color w:val="000000"/>
              </w:rPr>
              <w:t>0.6311</w:t>
            </w:r>
          </w:p>
        </w:tc>
        <w:tc>
          <w:tcPr>
            <w:tcW w:w="1690" w:type="dxa"/>
            <w:tcBorders>
              <w:top w:val="nil"/>
            </w:tcBorders>
          </w:tcPr>
          <w:p w:rsidR="008A1602" w:rsidRPr="00777711" w:rsidRDefault="008A1602" w:rsidP="008A1602">
            <w:pPr>
              <w:pStyle w:val="TCTableBody"/>
              <w:jc w:val="center"/>
            </w:pPr>
            <w:r w:rsidRPr="00777711">
              <w:rPr>
                <w:color w:val="000000"/>
              </w:rPr>
              <w:t>192.08</w:t>
            </w:r>
          </w:p>
        </w:tc>
      </w:tr>
      <w:tr w:rsidR="008A1602" w:rsidTr="001306E4">
        <w:tc>
          <w:tcPr>
            <w:tcW w:w="1826" w:type="dxa"/>
          </w:tcPr>
          <w:p w:rsidR="008A1602" w:rsidRPr="005842A4" w:rsidRDefault="008A1602" w:rsidP="008A1602">
            <w:pPr>
              <w:pStyle w:val="TCTableBody"/>
              <w:jc w:val="center"/>
              <w:rPr>
                <w:bCs/>
                <w:lang w:eastAsia="ru-RU"/>
              </w:rPr>
            </w:pPr>
            <w:r>
              <w:rPr>
                <w:bCs/>
                <w:color w:val="000000"/>
                <w:lang w:eastAsia="ru-RU"/>
              </w:rPr>
              <w:t>A</w:t>
            </w:r>
            <w:r w:rsidRPr="005842A4">
              <w:rPr>
                <w:bCs/>
                <w:color w:val="000000"/>
                <w:lang w:eastAsia="ru-RU"/>
              </w:rPr>
              <w:t>sp</w:t>
            </w:r>
          </w:p>
        </w:tc>
        <w:tc>
          <w:tcPr>
            <w:tcW w:w="1483" w:type="dxa"/>
          </w:tcPr>
          <w:p w:rsidR="008A1602" w:rsidRPr="005842A4" w:rsidRDefault="008A1602" w:rsidP="008A1602">
            <w:pPr>
              <w:pStyle w:val="TCTableBody"/>
              <w:jc w:val="center"/>
              <w:rPr>
                <w:lang w:eastAsia="ru-RU"/>
              </w:rPr>
            </w:pPr>
            <w:r w:rsidRPr="005842A4">
              <w:rPr>
                <w:color w:val="000000"/>
                <w:lang w:eastAsia="ru-RU"/>
              </w:rPr>
              <w:t>0.2542</w:t>
            </w:r>
          </w:p>
        </w:tc>
        <w:tc>
          <w:tcPr>
            <w:tcW w:w="1522" w:type="dxa"/>
          </w:tcPr>
          <w:p w:rsidR="008A1602" w:rsidRPr="00777711" w:rsidRDefault="008A1602" w:rsidP="008A1602">
            <w:pPr>
              <w:pStyle w:val="TCTableBody"/>
              <w:jc w:val="center"/>
            </w:pPr>
            <w:r w:rsidRPr="00777711">
              <w:rPr>
                <w:color w:val="000000"/>
              </w:rPr>
              <w:t>0.2587</w:t>
            </w:r>
          </w:p>
        </w:tc>
        <w:tc>
          <w:tcPr>
            <w:tcW w:w="1493" w:type="dxa"/>
          </w:tcPr>
          <w:p w:rsidR="008A1602" w:rsidRPr="00777711" w:rsidRDefault="008A1602" w:rsidP="008A1602">
            <w:pPr>
              <w:pStyle w:val="TCTableBody"/>
              <w:jc w:val="center"/>
            </w:pPr>
            <w:r>
              <w:rPr>
                <w:color w:val="000000"/>
                <w:lang w:val="en-US"/>
              </w:rPr>
              <w:noBreakHyphen/>
            </w:r>
            <w:r w:rsidRPr="00777711">
              <w:rPr>
                <w:color w:val="000000"/>
              </w:rPr>
              <w:t>0.499</w:t>
            </w:r>
          </w:p>
        </w:tc>
        <w:tc>
          <w:tcPr>
            <w:tcW w:w="1331" w:type="dxa"/>
          </w:tcPr>
          <w:p w:rsidR="008A1602" w:rsidRPr="00777711" w:rsidRDefault="008A1602" w:rsidP="008A1602">
            <w:pPr>
              <w:pStyle w:val="TCTableBody"/>
              <w:jc w:val="center"/>
            </w:pPr>
            <w:r w:rsidRPr="00777711">
              <w:rPr>
                <w:color w:val="000000"/>
              </w:rPr>
              <w:t>0.5606</w:t>
            </w:r>
          </w:p>
        </w:tc>
        <w:tc>
          <w:tcPr>
            <w:tcW w:w="1690" w:type="dxa"/>
          </w:tcPr>
          <w:p w:rsidR="008A1602" w:rsidRPr="00777711" w:rsidRDefault="008A1602" w:rsidP="008A1602">
            <w:pPr>
              <w:pStyle w:val="TCTableBody"/>
              <w:jc w:val="center"/>
            </w:pPr>
            <w:r w:rsidRPr="00777711">
              <w:rPr>
                <w:color w:val="000000"/>
              </w:rPr>
              <w:t>226.53</w:t>
            </w:r>
          </w:p>
        </w:tc>
      </w:tr>
      <w:tr w:rsidR="008A1602" w:rsidTr="001306E4">
        <w:tc>
          <w:tcPr>
            <w:tcW w:w="1826" w:type="dxa"/>
          </w:tcPr>
          <w:p w:rsidR="008A1602" w:rsidRPr="005842A4" w:rsidRDefault="008A1602" w:rsidP="008A1602">
            <w:pPr>
              <w:pStyle w:val="TCTableBody"/>
              <w:jc w:val="center"/>
              <w:rPr>
                <w:bCs/>
                <w:lang w:eastAsia="ru-RU"/>
              </w:rPr>
            </w:pPr>
            <w:r>
              <w:rPr>
                <w:bCs/>
                <w:color w:val="000000"/>
                <w:lang w:val="en-US" w:eastAsia="ru-RU"/>
              </w:rPr>
              <w:t>G</w:t>
            </w:r>
            <w:r w:rsidRPr="005842A4">
              <w:rPr>
                <w:bCs/>
                <w:color w:val="000000"/>
                <w:lang w:eastAsia="ru-RU"/>
              </w:rPr>
              <w:t>lu</w:t>
            </w:r>
          </w:p>
        </w:tc>
        <w:tc>
          <w:tcPr>
            <w:tcW w:w="1483" w:type="dxa"/>
          </w:tcPr>
          <w:p w:rsidR="008A1602" w:rsidRPr="005842A4" w:rsidRDefault="008A1602" w:rsidP="008A1602">
            <w:pPr>
              <w:pStyle w:val="TCTableBody"/>
              <w:jc w:val="center"/>
              <w:rPr>
                <w:lang w:eastAsia="ru-RU"/>
              </w:rPr>
            </w:pPr>
            <w:r w:rsidRPr="005842A4">
              <w:rPr>
                <w:color w:val="000000"/>
                <w:lang w:eastAsia="ru-RU"/>
              </w:rPr>
              <w:t>0.2572</w:t>
            </w:r>
          </w:p>
        </w:tc>
        <w:tc>
          <w:tcPr>
            <w:tcW w:w="1522" w:type="dxa"/>
          </w:tcPr>
          <w:p w:rsidR="008A1602" w:rsidRPr="00777711" w:rsidRDefault="008A1602" w:rsidP="008A1602">
            <w:pPr>
              <w:pStyle w:val="TCTableBody"/>
              <w:jc w:val="center"/>
            </w:pPr>
            <w:r w:rsidRPr="00777711">
              <w:rPr>
                <w:color w:val="000000"/>
              </w:rPr>
              <w:t>0.2553</w:t>
            </w:r>
          </w:p>
        </w:tc>
        <w:tc>
          <w:tcPr>
            <w:tcW w:w="1493" w:type="dxa"/>
          </w:tcPr>
          <w:p w:rsidR="008A1602" w:rsidRPr="00777711" w:rsidRDefault="008A1602" w:rsidP="008A1602">
            <w:pPr>
              <w:pStyle w:val="TCTableBody"/>
              <w:jc w:val="center"/>
            </w:pPr>
            <w:r>
              <w:rPr>
                <w:color w:val="000000"/>
                <w:lang w:val="en-US"/>
              </w:rPr>
              <w:noBreakHyphen/>
            </w:r>
            <w:r w:rsidRPr="00777711">
              <w:rPr>
                <w:color w:val="000000"/>
              </w:rPr>
              <w:t>0.503</w:t>
            </w:r>
          </w:p>
        </w:tc>
        <w:tc>
          <w:tcPr>
            <w:tcW w:w="1331" w:type="dxa"/>
          </w:tcPr>
          <w:p w:rsidR="008A1602" w:rsidRPr="00777711" w:rsidRDefault="008A1602" w:rsidP="008A1602">
            <w:pPr>
              <w:pStyle w:val="TCTableBody"/>
              <w:jc w:val="center"/>
            </w:pPr>
            <w:r w:rsidRPr="00777711">
              <w:rPr>
                <w:color w:val="000000"/>
              </w:rPr>
              <w:t>0.5683</w:t>
            </w:r>
          </w:p>
        </w:tc>
        <w:tc>
          <w:tcPr>
            <w:tcW w:w="1690" w:type="dxa"/>
          </w:tcPr>
          <w:p w:rsidR="008A1602" w:rsidRPr="00777711" w:rsidRDefault="008A1602" w:rsidP="008A1602">
            <w:pPr>
              <w:pStyle w:val="TCTableBody"/>
              <w:jc w:val="center"/>
            </w:pPr>
            <w:r w:rsidRPr="00777711">
              <w:rPr>
                <w:color w:val="000000"/>
              </w:rPr>
              <w:t>193.6</w:t>
            </w:r>
            <w:r>
              <w:rPr>
                <w:color w:val="000000"/>
              </w:rPr>
              <w:t>9</w:t>
            </w:r>
          </w:p>
        </w:tc>
      </w:tr>
    </w:tbl>
    <w:p w:rsidR="008A1602" w:rsidRPr="008A1602" w:rsidRDefault="008A1602" w:rsidP="008A1602"/>
    <w:p w:rsidR="00122061" w:rsidRPr="00122061" w:rsidRDefault="00122061" w:rsidP="00122061">
      <w:pPr>
        <w:pStyle w:val="TAMainText"/>
      </w:pPr>
      <w:r w:rsidRPr="00122061">
        <w:t xml:space="preserve">The amino acid adsorption entropy insignificantly depends on nitrogen partial charge in the </w:t>
      </w:r>
      <w:r w:rsidRPr="000A0161">
        <w:rPr>
          <w:i/>
        </w:rPr>
        <w:t>α</w:t>
      </w:r>
      <w:r w:rsidRPr="00122061">
        <w:t>-position according to the equation (</w:t>
      </w:r>
      <w:r w:rsidRPr="00122061">
        <w:rPr>
          <w:i/>
        </w:rPr>
        <w:t>8</w:t>
      </w:r>
      <w:r w:rsidRPr="00122061">
        <w:t xml:space="preserve">). The values of parameters </w:t>
      </w:r>
      <w:r w:rsidRPr="00122061">
        <w:rPr>
          <w:i/>
        </w:rPr>
        <w:t>a</w:t>
      </w:r>
      <w:r w:rsidRPr="00122061">
        <w:rPr>
          <w:i/>
          <w:vertAlign w:val="subscript"/>
        </w:rPr>
        <w:t>1</w:t>
      </w:r>
      <w:r w:rsidRPr="00122061">
        <w:t xml:space="preserve"> and </w:t>
      </w:r>
      <w:r w:rsidRPr="00122061">
        <w:rPr>
          <w:i/>
        </w:rPr>
        <w:t>b</w:t>
      </w:r>
      <w:r w:rsidRPr="00122061">
        <w:rPr>
          <w:i/>
          <w:vertAlign w:val="subscript"/>
        </w:rPr>
        <w:t>1</w:t>
      </w:r>
      <w:r w:rsidRPr="00122061">
        <w:t xml:space="preserve"> at different temperatures, correlation coefficients R and standard deviations S are presented in </w:t>
      </w:r>
      <w:r w:rsidRPr="00122061">
        <w:rPr>
          <w:b/>
        </w:rPr>
        <w:t>Table 5</w:t>
      </w:r>
      <w:r w:rsidRPr="00122061">
        <w:t>.</w:t>
      </w:r>
    </w:p>
    <w:p w:rsidR="009253E8" w:rsidRDefault="0001697C" w:rsidP="00AE1F4B">
      <w:pPr>
        <w:pStyle w:val="TAMainText"/>
        <w:jc w:val="center"/>
      </w:pPr>
      <m:oMath>
        <m:r>
          <w:rPr>
            <w:rFonts w:ascii="Cambria Math" w:hAnsi="Cambria Math"/>
          </w:rPr>
          <m:t>∆S=</m:t>
        </m:r>
        <m:sSub>
          <m:sSubPr>
            <m:ctrlPr>
              <w:rPr>
                <w:rFonts w:ascii="Cambria Math" w:hAnsi="Cambria Math"/>
                <w:bCs/>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b</m:t>
            </m:r>
          </m:e>
          <m:sub>
            <m:r>
              <w:rPr>
                <w:rFonts w:ascii="Cambria Math" w:hAnsi="Cambria Math"/>
              </w:rPr>
              <m:t>1</m:t>
            </m:r>
          </m:sub>
        </m:sSub>
        <m:sSub>
          <m:sSubPr>
            <m:ctrlPr>
              <w:rPr>
                <w:rFonts w:ascii="Cambria Math" w:hAnsi="Cambria Math"/>
                <w:bCs/>
                <w:i/>
              </w:rPr>
            </m:ctrlPr>
          </m:sSubPr>
          <m:e>
            <m:r>
              <w:rPr>
                <w:rFonts w:ascii="Cambria Math" w:hAnsi="Cambria Math"/>
              </w:rPr>
              <m:t>Q</m:t>
            </m:r>
          </m:e>
          <m:sub>
            <m:r>
              <w:rPr>
                <w:rFonts w:ascii="Cambria Math" w:hAnsi="Cambria Math"/>
              </w:rPr>
              <m:t>N</m:t>
            </m:r>
          </m:sub>
        </m:sSub>
      </m:oMath>
      <w:r w:rsidR="00122061" w:rsidRPr="00122061">
        <w:tab/>
      </w:r>
      <w:r w:rsidR="00122061" w:rsidRPr="00122061">
        <w:tab/>
        <w:t>(</w:t>
      </w:r>
      <w:r w:rsidR="00122061" w:rsidRPr="00E5579F">
        <w:rPr>
          <w:i/>
        </w:rPr>
        <w:t>8</w:t>
      </w:r>
      <w:r w:rsidR="00122061" w:rsidRPr="00122061">
        <w:t>)</w:t>
      </w:r>
    </w:p>
    <w:p w:rsidR="001306E4" w:rsidRDefault="001306E4" w:rsidP="001306E4">
      <w:pPr>
        <w:pStyle w:val="VDTableTitle"/>
      </w:pPr>
      <w:proofErr w:type="gramStart"/>
      <w:r w:rsidRPr="001306E4">
        <w:rPr>
          <w:b/>
        </w:rPr>
        <w:t>Table 5.</w:t>
      </w:r>
      <w:proofErr w:type="gramEnd"/>
      <w:r w:rsidRPr="001306E4">
        <w:t xml:space="preserve"> The values of parameters </w:t>
      </w:r>
      <w:r w:rsidRPr="001306E4">
        <w:rPr>
          <w:i/>
        </w:rPr>
        <w:t>a</w:t>
      </w:r>
      <w:r w:rsidRPr="001306E4">
        <w:rPr>
          <w:i/>
          <w:vertAlign w:val="subscript"/>
        </w:rPr>
        <w:t>1</w:t>
      </w:r>
      <w:r w:rsidRPr="001306E4">
        <w:t xml:space="preserve"> and </w:t>
      </w:r>
      <w:r w:rsidRPr="001306E4">
        <w:rPr>
          <w:i/>
        </w:rPr>
        <w:t>b</w:t>
      </w:r>
      <w:r w:rsidRPr="001306E4">
        <w:rPr>
          <w:i/>
          <w:vertAlign w:val="subscript"/>
        </w:rPr>
        <w:t>1</w:t>
      </w:r>
      <w:r w:rsidRPr="001306E4">
        <w:t xml:space="preserve"> at different temperatures, correlation coefficients R and standard deviations 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gridCol w:w="1869"/>
        <w:gridCol w:w="1869"/>
        <w:gridCol w:w="1869"/>
      </w:tblGrid>
      <w:tr w:rsidR="001306E4" w:rsidRPr="00DE57BD" w:rsidTr="001306E4">
        <w:trPr>
          <w:tblHeader/>
        </w:trPr>
        <w:tc>
          <w:tcPr>
            <w:tcW w:w="1869" w:type="dxa"/>
            <w:tcBorders>
              <w:bottom w:val="single" w:sz="4" w:space="0" w:color="auto"/>
            </w:tcBorders>
            <w:vAlign w:val="center"/>
          </w:tcPr>
          <w:p w:rsidR="001306E4" w:rsidRPr="00FF13A7" w:rsidRDefault="001306E4" w:rsidP="00FF13A7">
            <w:pPr>
              <w:pStyle w:val="TCTableBody"/>
              <w:jc w:val="center"/>
              <w:rPr>
                <w:b/>
              </w:rPr>
            </w:pPr>
            <w:r w:rsidRPr="00FF13A7">
              <w:rPr>
                <w:b/>
              </w:rPr>
              <w:t xml:space="preserve">T, </w:t>
            </w:r>
            <w:r w:rsidRPr="00FF13A7">
              <w:rPr>
                <w:b/>
                <w:i/>
              </w:rPr>
              <w:t>K</w:t>
            </w:r>
          </w:p>
        </w:tc>
        <w:tc>
          <w:tcPr>
            <w:tcW w:w="1869" w:type="dxa"/>
            <w:tcBorders>
              <w:bottom w:val="single" w:sz="4" w:space="0" w:color="auto"/>
            </w:tcBorders>
            <w:vAlign w:val="center"/>
          </w:tcPr>
          <w:p w:rsidR="001306E4" w:rsidRPr="00FF13A7" w:rsidRDefault="001306E4" w:rsidP="00FF13A7">
            <w:pPr>
              <w:pStyle w:val="TCTableBody"/>
              <w:jc w:val="center"/>
              <w:rPr>
                <w:b/>
              </w:rPr>
            </w:pPr>
            <w:r w:rsidRPr="00FF13A7">
              <w:rPr>
                <w:b/>
              </w:rPr>
              <w:t>a</w:t>
            </w:r>
            <w:r w:rsidRPr="00FF13A7">
              <w:rPr>
                <w:b/>
                <w:vertAlign w:val="subscript"/>
              </w:rPr>
              <w:t>1</w:t>
            </w:r>
          </w:p>
        </w:tc>
        <w:tc>
          <w:tcPr>
            <w:tcW w:w="1869" w:type="dxa"/>
            <w:tcBorders>
              <w:bottom w:val="single" w:sz="4" w:space="0" w:color="auto"/>
            </w:tcBorders>
            <w:vAlign w:val="center"/>
          </w:tcPr>
          <w:p w:rsidR="001306E4" w:rsidRPr="00FF13A7" w:rsidRDefault="001306E4" w:rsidP="00FF13A7">
            <w:pPr>
              <w:pStyle w:val="TCTableBody"/>
              <w:jc w:val="center"/>
              <w:rPr>
                <w:b/>
              </w:rPr>
            </w:pPr>
            <w:r w:rsidRPr="00FF13A7">
              <w:rPr>
                <w:b/>
              </w:rPr>
              <w:t>b</w:t>
            </w:r>
            <w:r w:rsidRPr="00FF13A7">
              <w:rPr>
                <w:b/>
                <w:vertAlign w:val="subscript"/>
              </w:rPr>
              <w:t>1</w:t>
            </w:r>
          </w:p>
        </w:tc>
        <w:tc>
          <w:tcPr>
            <w:tcW w:w="1869" w:type="dxa"/>
            <w:tcBorders>
              <w:bottom w:val="single" w:sz="4" w:space="0" w:color="auto"/>
            </w:tcBorders>
            <w:vAlign w:val="center"/>
          </w:tcPr>
          <w:p w:rsidR="001306E4" w:rsidRPr="00FF13A7" w:rsidRDefault="001306E4" w:rsidP="00FF13A7">
            <w:pPr>
              <w:pStyle w:val="TCTableBody"/>
              <w:jc w:val="center"/>
              <w:rPr>
                <w:b/>
              </w:rPr>
            </w:pPr>
            <w:r w:rsidRPr="00FF13A7">
              <w:rPr>
                <w:b/>
              </w:rPr>
              <w:t>R</w:t>
            </w:r>
          </w:p>
        </w:tc>
        <w:tc>
          <w:tcPr>
            <w:tcW w:w="1869" w:type="dxa"/>
            <w:tcBorders>
              <w:bottom w:val="single" w:sz="4" w:space="0" w:color="auto"/>
            </w:tcBorders>
            <w:vAlign w:val="center"/>
          </w:tcPr>
          <w:p w:rsidR="001306E4" w:rsidRPr="00FF13A7" w:rsidRDefault="001306E4" w:rsidP="00FF13A7">
            <w:pPr>
              <w:pStyle w:val="TCTableBody"/>
              <w:jc w:val="center"/>
              <w:rPr>
                <w:b/>
              </w:rPr>
            </w:pPr>
            <w:r w:rsidRPr="00FF13A7">
              <w:rPr>
                <w:b/>
              </w:rPr>
              <w:t xml:space="preserve">S, </w:t>
            </w:r>
            <w:r w:rsidRPr="00FF13A7">
              <w:rPr>
                <w:b/>
                <w:i/>
              </w:rPr>
              <w:t>kJ/mol</w:t>
            </w:r>
          </w:p>
        </w:tc>
      </w:tr>
      <w:tr w:rsidR="001306E4" w:rsidRPr="00DE57BD" w:rsidTr="001306E4">
        <w:tc>
          <w:tcPr>
            <w:tcW w:w="1869" w:type="dxa"/>
            <w:tcBorders>
              <w:top w:val="single" w:sz="4" w:space="0" w:color="auto"/>
            </w:tcBorders>
            <w:vAlign w:val="center"/>
          </w:tcPr>
          <w:p w:rsidR="001306E4" w:rsidRPr="00FF13A7" w:rsidRDefault="001306E4" w:rsidP="00FF13A7">
            <w:pPr>
              <w:pStyle w:val="TCTableBody"/>
              <w:jc w:val="center"/>
            </w:pPr>
            <w:r w:rsidRPr="00FF13A7">
              <w:t>273.15</w:t>
            </w:r>
          </w:p>
        </w:tc>
        <w:tc>
          <w:tcPr>
            <w:tcW w:w="1869" w:type="dxa"/>
            <w:tcBorders>
              <w:top w:val="single" w:sz="4" w:space="0" w:color="auto"/>
            </w:tcBorders>
            <w:vAlign w:val="center"/>
          </w:tcPr>
          <w:p w:rsidR="001306E4" w:rsidRPr="00FF13A7" w:rsidRDefault="001306E4" w:rsidP="00FF13A7">
            <w:pPr>
              <w:pStyle w:val="TCTableBody"/>
              <w:jc w:val="center"/>
            </w:pPr>
            <w:r w:rsidRPr="00FF13A7">
              <w:t>1.93</w:t>
            </w:r>
          </w:p>
        </w:tc>
        <w:tc>
          <w:tcPr>
            <w:tcW w:w="1869" w:type="dxa"/>
            <w:tcBorders>
              <w:top w:val="single" w:sz="4" w:space="0" w:color="auto"/>
            </w:tcBorders>
          </w:tcPr>
          <w:p w:rsidR="001306E4" w:rsidRPr="00FF13A7" w:rsidRDefault="001306E4" w:rsidP="00FF13A7">
            <w:pPr>
              <w:pStyle w:val="TCTableBody"/>
              <w:jc w:val="center"/>
            </w:pPr>
            <w:r w:rsidRPr="00FF13A7">
              <w:t>3.64</w:t>
            </w:r>
          </w:p>
        </w:tc>
        <w:tc>
          <w:tcPr>
            <w:tcW w:w="1869" w:type="dxa"/>
            <w:tcBorders>
              <w:top w:val="single" w:sz="4" w:space="0" w:color="auto"/>
            </w:tcBorders>
          </w:tcPr>
          <w:p w:rsidR="001306E4" w:rsidRPr="00FF13A7" w:rsidRDefault="001306E4" w:rsidP="00FF13A7">
            <w:pPr>
              <w:pStyle w:val="TCTableBody"/>
              <w:jc w:val="center"/>
            </w:pPr>
            <w:r w:rsidRPr="00FF13A7">
              <w:t>0.681</w:t>
            </w:r>
          </w:p>
        </w:tc>
        <w:tc>
          <w:tcPr>
            <w:tcW w:w="1869" w:type="dxa"/>
            <w:tcBorders>
              <w:top w:val="single" w:sz="4" w:space="0" w:color="auto"/>
            </w:tcBorders>
          </w:tcPr>
          <w:p w:rsidR="001306E4" w:rsidRPr="00FF13A7" w:rsidRDefault="001306E4" w:rsidP="00FF13A7">
            <w:pPr>
              <w:pStyle w:val="TCTableBody"/>
              <w:jc w:val="center"/>
            </w:pPr>
            <w:r w:rsidRPr="00FF13A7">
              <w:t>0.063</w:t>
            </w:r>
          </w:p>
        </w:tc>
      </w:tr>
      <w:tr w:rsidR="001306E4" w:rsidTr="001306E4">
        <w:tc>
          <w:tcPr>
            <w:tcW w:w="1869" w:type="dxa"/>
            <w:vAlign w:val="center"/>
          </w:tcPr>
          <w:p w:rsidR="001306E4" w:rsidRPr="00FF13A7" w:rsidRDefault="001306E4" w:rsidP="00FF13A7">
            <w:pPr>
              <w:pStyle w:val="TCTableBody"/>
              <w:jc w:val="center"/>
            </w:pPr>
            <w:r w:rsidRPr="00FF13A7">
              <w:t>283.15</w:t>
            </w:r>
          </w:p>
        </w:tc>
        <w:tc>
          <w:tcPr>
            <w:tcW w:w="1869" w:type="dxa"/>
            <w:vAlign w:val="center"/>
          </w:tcPr>
          <w:p w:rsidR="001306E4" w:rsidRPr="00FF13A7" w:rsidRDefault="001306E4" w:rsidP="00FF13A7">
            <w:pPr>
              <w:pStyle w:val="TCTableBody"/>
              <w:jc w:val="center"/>
            </w:pPr>
            <w:r w:rsidRPr="00FF13A7">
              <w:t>1.83</w:t>
            </w:r>
          </w:p>
        </w:tc>
        <w:tc>
          <w:tcPr>
            <w:tcW w:w="1869" w:type="dxa"/>
          </w:tcPr>
          <w:p w:rsidR="001306E4" w:rsidRPr="00FF13A7" w:rsidRDefault="001306E4" w:rsidP="00FF13A7">
            <w:pPr>
              <w:pStyle w:val="TCTableBody"/>
              <w:jc w:val="center"/>
            </w:pPr>
            <w:r w:rsidRPr="00FF13A7">
              <w:t>3.44</w:t>
            </w:r>
          </w:p>
        </w:tc>
        <w:tc>
          <w:tcPr>
            <w:tcW w:w="1869" w:type="dxa"/>
          </w:tcPr>
          <w:p w:rsidR="001306E4" w:rsidRPr="00FF13A7" w:rsidRDefault="001306E4" w:rsidP="00FF13A7">
            <w:pPr>
              <w:pStyle w:val="TCTableBody"/>
              <w:jc w:val="center"/>
            </w:pPr>
            <w:r w:rsidRPr="00FF13A7">
              <w:t>0.678</w:t>
            </w:r>
          </w:p>
        </w:tc>
        <w:tc>
          <w:tcPr>
            <w:tcW w:w="1869" w:type="dxa"/>
          </w:tcPr>
          <w:p w:rsidR="001306E4" w:rsidRPr="00FF13A7" w:rsidRDefault="001306E4" w:rsidP="00FF13A7">
            <w:pPr>
              <w:pStyle w:val="TCTableBody"/>
              <w:jc w:val="center"/>
            </w:pPr>
            <w:r w:rsidRPr="00FF13A7">
              <w:t>0.060</w:t>
            </w:r>
          </w:p>
        </w:tc>
      </w:tr>
      <w:tr w:rsidR="001306E4" w:rsidTr="001306E4">
        <w:tc>
          <w:tcPr>
            <w:tcW w:w="1869" w:type="dxa"/>
            <w:vAlign w:val="center"/>
          </w:tcPr>
          <w:p w:rsidR="001306E4" w:rsidRPr="00FF13A7" w:rsidRDefault="001306E4" w:rsidP="00FF13A7">
            <w:pPr>
              <w:pStyle w:val="TCTableBody"/>
              <w:jc w:val="center"/>
            </w:pPr>
            <w:r w:rsidRPr="00FF13A7">
              <w:t>293.15</w:t>
            </w:r>
          </w:p>
        </w:tc>
        <w:tc>
          <w:tcPr>
            <w:tcW w:w="1869" w:type="dxa"/>
            <w:vAlign w:val="center"/>
          </w:tcPr>
          <w:p w:rsidR="001306E4" w:rsidRPr="00FF13A7" w:rsidRDefault="001306E4" w:rsidP="00FF13A7">
            <w:pPr>
              <w:pStyle w:val="TCTableBody"/>
              <w:jc w:val="center"/>
            </w:pPr>
            <w:r w:rsidRPr="00FF13A7">
              <w:t>1.79</w:t>
            </w:r>
          </w:p>
        </w:tc>
        <w:tc>
          <w:tcPr>
            <w:tcW w:w="1869" w:type="dxa"/>
          </w:tcPr>
          <w:p w:rsidR="001306E4" w:rsidRPr="00FF13A7" w:rsidRDefault="001306E4" w:rsidP="00FF13A7">
            <w:pPr>
              <w:pStyle w:val="TCTableBody"/>
              <w:jc w:val="center"/>
            </w:pPr>
            <w:r w:rsidRPr="00FF13A7">
              <w:t>3.37</w:t>
            </w:r>
          </w:p>
        </w:tc>
        <w:tc>
          <w:tcPr>
            <w:tcW w:w="1869" w:type="dxa"/>
          </w:tcPr>
          <w:p w:rsidR="001306E4" w:rsidRPr="00FF13A7" w:rsidRDefault="001306E4" w:rsidP="00FF13A7">
            <w:pPr>
              <w:pStyle w:val="TCTableBody"/>
              <w:jc w:val="center"/>
            </w:pPr>
            <w:r w:rsidRPr="00FF13A7">
              <w:t>0.653</w:t>
            </w:r>
          </w:p>
        </w:tc>
        <w:tc>
          <w:tcPr>
            <w:tcW w:w="1869" w:type="dxa"/>
          </w:tcPr>
          <w:p w:rsidR="001306E4" w:rsidRPr="00FF13A7" w:rsidRDefault="001306E4" w:rsidP="00FF13A7">
            <w:pPr>
              <w:pStyle w:val="TCTableBody"/>
              <w:jc w:val="center"/>
            </w:pPr>
            <w:r w:rsidRPr="00FF13A7">
              <w:t>0.062</w:t>
            </w:r>
          </w:p>
        </w:tc>
      </w:tr>
      <w:tr w:rsidR="001306E4" w:rsidTr="001306E4">
        <w:tc>
          <w:tcPr>
            <w:tcW w:w="1869" w:type="dxa"/>
            <w:vAlign w:val="center"/>
          </w:tcPr>
          <w:p w:rsidR="001306E4" w:rsidRPr="00FF13A7" w:rsidRDefault="001306E4" w:rsidP="00FF13A7">
            <w:pPr>
              <w:pStyle w:val="TCTableBody"/>
              <w:jc w:val="center"/>
            </w:pPr>
            <w:r w:rsidRPr="00FF13A7">
              <w:t>303.15</w:t>
            </w:r>
          </w:p>
        </w:tc>
        <w:tc>
          <w:tcPr>
            <w:tcW w:w="1869" w:type="dxa"/>
            <w:vAlign w:val="center"/>
          </w:tcPr>
          <w:p w:rsidR="001306E4" w:rsidRPr="00FF13A7" w:rsidRDefault="001306E4" w:rsidP="00FF13A7">
            <w:pPr>
              <w:pStyle w:val="TCTableBody"/>
              <w:jc w:val="center"/>
            </w:pPr>
            <w:r w:rsidRPr="00FF13A7">
              <w:t>1.83</w:t>
            </w:r>
          </w:p>
        </w:tc>
        <w:tc>
          <w:tcPr>
            <w:tcW w:w="1869" w:type="dxa"/>
          </w:tcPr>
          <w:p w:rsidR="001306E4" w:rsidRPr="00FF13A7" w:rsidRDefault="001306E4" w:rsidP="00FF13A7">
            <w:pPr>
              <w:pStyle w:val="TCTableBody"/>
              <w:jc w:val="center"/>
            </w:pPr>
            <w:r w:rsidRPr="00FF13A7">
              <w:t>3.43</w:t>
            </w:r>
          </w:p>
        </w:tc>
        <w:tc>
          <w:tcPr>
            <w:tcW w:w="1869" w:type="dxa"/>
          </w:tcPr>
          <w:p w:rsidR="001306E4" w:rsidRPr="00FF13A7" w:rsidRDefault="001306E4" w:rsidP="00FF13A7">
            <w:pPr>
              <w:pStyle w:val="TCTableBody"/>
              <w:jc w:val="center"/>
            </w:pPr>
            <w:r w:rsidRPr="00FF13A7">
              <w:t>0.673</w:t>
            </w:r>
          </w:p>
        </w:tc>
        <w:tc>
          <w:tcPr>
            <w:tcW w:w="1869" w:type="dxa"/>
          </w:tcPr>
          <w:p w:rsidR="001306E4" w:rsidRPr="00FF13A7" w:rsidRDefault="001306E4" w:rsidP="00FF13A7">
            <w:pPr>
              <w:pStyle w:val="TCTableBody"/>
              <w:jc w:val="center"/>
            </w:pPr>
            <w:r w:rsidRPr="00FF13A7">
              <w:t>0.062</w:t>
            </w:r>
          </w:p>
        </w:tc>
      </w:tr>
      <w:tr w:rsidR="001306E4" w:rsidTr="001306E4">
        <w:tc>
          <w:tcPr>
            <w:tcW w:w="1869" w:type="dxa"/>
            <w:tcBorders>
              <w:bottom w:val="single" w:sz="4" w:space="0" w:color="auto"/>
            </w:tcBorders>
            <w:vAlign w:val="center"/>
          </w:tcPr>
          <w:p w:rsidR="001306E4" w:rsidRPr="00FF13A7" w:rsidRDefault="001306E4" w:rsidP="00FF13A7">
            <w:pPr>
              <w:pStyle w:val="TCTableBody"/>
              <w:jc w:val="center"/>
            </w:pPr>
            <w:r w:rsidRPr="00FF13A7">
              <w:t>313.15</w:t>
            </w:r>
          </w:p>
        </w:tc>
        <w:tc>
          <w:tcPr>
            <w:tcW w:w="1869" w:type="dxa"/>
            <w:tcBorders>
              <w:bottom w:val="single" w:sz="4" w:space="0" w:color="auto"/>
            </w:tcBorders>
            <w:vAlign w:val="center"/>
          </w:tcPr>
          <w:p w:rsidR="001306E4" w:rsidRPr="00FF13A7" w:rsidRDefault="001306E4" w:rsidP="00FF13A7">
            <w:pPr>
              <w:pStyle w:val="TCTableBody"/>
              <w:jc w:val="center"/>
            </w:pPr>
            <w:r w:rsidRPr="00FF13A7">
              <w:t>1.85</w:t>
            </w:r>
          </w:p>
        </w:tc>
        <w:tc>
          <w:tcPr>
            <w:tcW w:w="1869" w:type="dxa"/>
            <w:tcBorders>
              <w:bottom w:val="single" w:sz="4" w:space="0" w:color="auto"/>
            </w:tcBorders>
          </w:tcPr>
          <w:p w:rsidR="001306E4" w:rsidRPr="00FF13A7" w:rsidRDefault="001306E4" w:rsidP="00FF13A7">
            <w:pPr>
              <w:pStyle w:val="TCTableBody"/>
              <w:jc w:val="center"/>
            </w:pPr>
            <w:r w:rsidRPr="00FF13A7">
              <w:t>3.48</w:t>
            </w:r>
          </w:p>
        </w:tc>
        <w:tc>
          <w:tcPr>
            <w:tcW w:w="1869" w:type="dxa"/>
            <w:tcBorders>
              <w:bottom w:val="single" w:sz="4" w:space="0" w:color="auto"/>
            </w:tcBorders>
          </w:tcPr>
          <w:p w:rsidR="001306E4" w:rsidRPr="00FF13A7" w:rsidRDefault="001306E4" w:rsidP="00FF13A7">
            <w:pPr>
              <w:pStyle w:val="TCTableBody"/>
              <w:jc w:val="center"/>
            </w:pPr>
            <w:r w:rsidRPr="00FF13A7">
              <w:t>0.682</w:t>
            </w:r>
          </w:p>
        </w:tc>
        <w:tc>
          <w:tcPr>
            <w:tcW w:w="1869" w:type="dxa"/>
            <w:tcBorders>
              <w:bottom w:val="single" w:sz="4" w:space="0" w:color="auto"/>
            </w:tcBorders>
          </w:tcPr>
          <w:p w:rsidR="001306E4" w:rsidRPr="00FF13A7" w:rsidRDefault="001306E4" w:rsidP="00FF13A7">
            <w:pPr>
              <w:pStyle w:val="TCTableBody"/>
              <w:jc w:val="center"/>
            </w:pPr>
            <w:r w:rsidRPr="00FF13A7">
              <w:t>0.062</w:t>
            </w:r>
          </w:p>
        </w:tc>
      </w:tr>
    </w:tbl>
    <w:p w:rsidR="001306E4" w:rsidRPr="001306E4" w:rsidRDefault="001306E4" w:rsidP="001306E4"/>
    <w:p w:rsidR="009253E8" w:rsidRPr="009253E8" w:rsidRDefault="009253E8" w:rsidP="009253E8">
      <w:pPr>
        <w:pStyle w:val="TAMainText"/>
      </w:pPr>
      <w:r w:rsidRPr="009253E8">
        <w:t>Like in the case of the Gibbs free energy, the equation parameters have the highest absolute values at 273.15</w:t>
      </w:r>
      <w:r w:rsidR="00D414C9">
        <w:t> </w:t>
      </w:r>
      <w:r w:rsidRPr="009253E8">
        <w:t>K, while at temperatures of 283.15÷303.15</w:t>
      </w:r>
      <w:r>
        <w:t> </w:t>
      </w:r>
      <w:r w:rsidRPr="009253E8">
        <w:t xml:space="preserve">K they decrease and differ </w:t>
      </w:r>
      <w:r w:rsidRPr="009253E8">
        <w:lastRenderedPageBreak/>
        <w:t>insignificantly. Dependence of the entropy on the molecular characteristics is very weak and the correlation coefficients do not exceed the value of 0.7.</w:t>
      </w:r>
    </w:p>
    <w:p w:rsidR="009253E8" w:rsidRPr="009253E8" w:rsidRDefault="009253E8" w:rsidP="009253E8">
      <w:pPr>
        <w:pStyle w:val="TAMainText"/>
      </w:pPr>
      <w:r w:rsidRPr="009253E8">
        <w:t>At temperatures, 273.15</w:t>
      </w:r>
      <w:r w:rsidR="00D414C9">
        <w:t> </w:t>
      </w:r>
      <w:r>
        <w:t>K</w:t>
      </w:r>
      <w:r w:rsidRPr="009253E8">
        <w:t xml:space="preserve"> (Eq. </w:t>
      </w:r>
      <w:r w:rsidRPr="009253E8">
        <w:rPr>
          <w:i/>
        </w:rPr>
        <w:t>9</w:t>
      </w:r>
      <w:r w:rsidRPr="009253E8">
        <w:t>) and 303.15</w:t>
      </w:r>
      <w:r w:rsidR="00D414C9">
        <w:t> </w:t>
      </w:r>
      <w:r w:rsidRPr="009253E8">
        <w:t xml:space="preserve">K (Eq. </w:t>
      </w:r>
      <w:r w:rsidRPr="009253E8">
        <w:rPr>
          <w:i/>
        </w:rPr>
        <w:t>10</w:t>
      </w:r>
      <w:r w:rsidRPr="009253E8">
        <w:t>) the saturation A</w:t>
      </w:r>
      <w:r w:rsidRPr="00D414C9">
        <w:rPr>
          <w:vertAlign w:val="subscript"/>
        </w:rPr>
        <w:t>m</w:t>
      </w:r>
      <w:r w:rsidRPr="009253E8">
        <w:t xml:space="preserve"> depends on the carbonyl oxygen partial charge and on the energy difference between the LUMO and HOMO. Since the first layer is adsorbed via ammoniu</w:t>
      </w:r>
      <w:r>
        <w:t>m groups, as described earlier,</w:t>
      </w:r>
      <w:r w:rsidR="00655DE1">
        <w:fldChar w:fldCharType="begin" w:fldLock="1"/>
      </w:r>
      <w:r w:rsidR="00773999">
        <w:instrText>ADDIN CSL_CITATION {"citationItems":[{"id":"ITEM-1","itemData":{"DOI":"10.1021/la500722n","ISBN":"0743-7463","ISSN":"15205827","PMID":"24978817","abstract":"Nanoparticles in biological media form dynamic entities as a result of competitive adsorption of proteins on nanoparticle surfaces called protein coronas. The protein affinity toward nanoparticle surfaces potentially depends on the constituent amino acid side chains which are on the protein exterior and thus exposed to the solution and available for interaction. Therefore, studying the adsorption of individual amino acids on nanoparticle surfaces can provide valuable insights into the overall evolution of nanoparticles in solution and the protein corona that forms. In the current study, the surface adsorption of l-histidine on TiO2 nanoparticles with a diameter of 5 nm at pH 7.4 (physiological pH) is studied from both macroscopic and molecular perspectives. Quantitative adsorption measurements of l-histidine on 5 nm TiO2 particles yield maximum adsorption coverage of 6.2 ± 0.3 × 10(13) molecules cm(-2) at 293 K and pH 7.4. These quantitative adsorption measurements also yield values for the equilibrium constant and free energy of adsorption of K = 4.3 ± 0.5 × 10(2) L mol(-1) and ΔG = -14.8 ± 0.3 kJ mol(-1), respectively. Detailed analysis of the adsorption between histidine and 5 nm TiO2 nanoparticle surfaces with attenuated total reflectance Fourier transform infrared (ATR-FTIR) spectroscopy indicates both the imidazole side chain and the amine group interacting with the nanoparticle surface and the adsorption to be reversible. The adsorption results in no change in surface charge and therefore does not change nanoparticle-nanoparticle interactions and thus aggregation behavior of these 5 nm TiO2 nanoparticles in aqueous solution.","author":[{"dropping-particle":"","family":"Mudunkotuwa","given":"Imali A.","non-dropping-particle":"","parse-names":false,"suffix":""},{"dropping-particle":"","family":"Grassian","given":"Vicki H.","non-dropping-particle":"","parse-names":false,"suffix":""}],"container-title":"Langmuir","id":"ITEM-1","issued":{"date-parts":[["2014"]]},"title":"Histidine adsorption on TiO2 nanoparticles: An integrated spectroscopic, thermodynamic, and molecular-based approach toward understanding nano-bio interactions","type":"article-journal"},"uris":["http://www.mendeley.com/documents/?uuid=97c7fb96-3919-4f72-8719-2ef67a6afae4"]},{"id":"ITEM-2","itemData":{"DOI":"10.1021/la00009a034","ISBN":"0743-7463","ISSN":"07437463","abstract":"The adsorption of L-aspartic acid (AA) at the TiO2-KNO3 aqueous solution interface was studied as a function of pH and electrolyte concentration using direct adsorption, OH- desorption, electrophoresis, and XPS measurements. A multisites surface complexation model was used to describe the charging and adsorptive behavior of the particles. Adsorption and electrophoretic data show that the amino acid uptake is characteristic of adsorbing anions and almost ionic strength independent. Although XPS data indicates that AA interacts with TiO2 surface sites through the amino groups, neither XPS nor kinetic results give conclusive evidence for the adsorption mechanism (ligand exchange or hydrogen bonding). Model calculations together with OH- desorption data, however, allow us to conclude that ligand exchange reactions, by which AA forms inner sphere surface complexes, take place. The model also predicts that only terminal (TiOH) groups react with AA. The results exemplify the usefulness of modeling when a quite complete set of experimental data cannot elucidate the type of reaction taking place between the solute and the surface. ? 1995 American Chemical Society.","author":[{"dropping-particle":"","family":"Giacomelli","given":"Ce","non-dropping-particle":"","parse-names":false,"suffix":""},{"dropping-particle":"","family":"Avena","given":"Mj","non-dropping-particle":"","parse-names":false,"suffix":""},{"dropping-particle":"De","family":"Pauli","given":"Cp","non-dropping-particle":"","parse-names":false,"suffix":""}],"container-title":"Langmuir","id":"ITEM-2","issue":"16","issued":{"date-parts":[["1995"]]},"page":"3483-3490","title":"Aspartic acid adsorption onto TiO2 particles surface. Experimental data and model calculations","type":"article-journal"},"uris":["http://www.mendeley.com/documents/?uuid=41443f5f-0de6-4fc5-ae1b-5c6a20a9606c"]}],"mendeley":{"formattedCitation":"&lt;sup&gt;16,21&lt;/sup&gt;","plainTextFormattedCitation":"16,21","previouslyFormattedCitation":"&lt;sup&gt;16,21&lt;/sup&gt;"},"properties":{"noteIndex":0},"schema":"https://github.com/citation-style-language/schema/raw/master/csl-citation.json"}</w:instrText>
      </w:r>
      <w:r w:rsidR="00655DE1">
        <w:fldChar w:fldCharType="separate"/>
      </w:r>
      <w:r w:rsidR="00655DE1" w:rsidRPr="00655DE1">
        <w:rPr>
          <w:noProof/>
          <w:vertAlign w:val="superscript"/>
        </w:rPr>
        <w:t>16,21</w:t>
      </w:r>
      <w:r w:rsidR="00655DE1">
        <w:fldChar w:fldCharType="end"/>
      </w:r>
      <w:r w:rsidRPr="009253E8">
        <w:t xml:space="preserve"> free carboxylate groups act as the second adsorption layer sites. Equations (</w:t>
      </w:r>
      <w:r w:rsidRPr="009253E8">
        <w:rPr>
          <w:i/>
        </w:rPr>
        <w:t>9</w:t>
      </w:r>
      <w:r w:rsidRPr="009253E8">
        <w:t>) and (</w:t>
      </w:r>
      <w:r w:rsidRPr="009253E8">
        <w:rPr>
          <w:i/>
        </w:rPr>
        <w:t>10</w:t>
      </w:r>
      <w:r w:rsidRPr="009253E8">
        <w:t>) describe multilayer amino acid adsorption at low temperatures as the process governed by COO</w:t>
      </w:r>
      <w:r w:rsidRPr="009253E8">
        <w:rPr>
          <w:vertAlign w:val="superscript"/>
        </w:rPr>
        <w:noBreakHyphen/>
      </w:r>
      <w:r w:rsidRPr="009253E8">
        <w:t xml:space="preserve"> groups, through the formation of</w:t>
      </w:r>
      <w:r w:rsidR="00DA4799">
        <w:t xml:space="preserve"> a</w:t>
      </w:r>
      <w:r w:rsidRPr="009253E8">
        <w:t xml:space="preserve"> hydrogen bond with ammonium groups of the second layer. Second layer formation comes with a transfer of the electron density from the HOMO localized at negatively charged carboxylate group to the LUMO localized at positively charged hydrogens of the second layer ammonium group.</w:t>
      </w:r>
    </w:p>
    <w:p w:rsidR="009253E8" w:rsidRPr="009253E8" w:rsidRDefault="005656A7" w:rsidP="00AE1F4B">
      <w:pPr>
        <w:pStyle w:val="TAMainText"/>
        <w:jc w:val="center"/>
      </w:pPr>
      <m:oMath>
        <m:sSub>
          <m:sSubPr>
            <m:ctrlPr>
              <w:rPr>
                <w:rFonts w:ascii="Cambria Math" w:hAnsi="Cambria Math"/>
                <w:bCs/>
                <w:i/>
              </w:rPr>
            </m:ctrlPr>
          </m:sSubPr>
          <m:e>
            <m:r>
              <w:rPr>
                <w:rFonts w:ascii="Cambria Math" w:hAnsi="Cambria Math"/>
              </w:rPr>
              <m:t>A</m:t>
            </m:r>
          </m:e>
          <m:sub>
            <m:r>
              <w:rPr>
                <w:rFonts w:ascii="Cambria Math" w:hAnsi="Cambria Math"/>
              </w:rPr>
              <m:t>m</m:t>
            </m:r>
          </m:sub>
        </m:sSub>
        <m:r>
          <w:rPr>
            <w:rFonts w:ascii="Cambria Math" w:hAnsi="Cambria Math"/>
          </w:rPr>
          <m:t>=102-146∆+190</m:t>
        </m:r>
        <m:sSub>
          <m:sSubPr>
            <m:ctrlPr>
              <w:rPr>
                <w:rFonts w:ascii="Cambria Math" w:hAnsi="Cambria Math"/>
                <w:bCs/>
                <w:i/>
              </w:rPr>
            </m:ctrlPr>
          </m:sSubPr>
          <m:e>
            <m:r>
              <w:rPr>
                <w:rFonts w:ascii="Cambria Math" w:hAnsi="Cambria Math"/>
              </w:rPr>
              <m:t>Q</m:t>
            </m:r>
          </m:e>
          <m:sub>
            <m:r>
              <w:rPr>
                <w:rFonts w:ascii="Cambria Math" w:hAnsi="Cambria Math"/>
              </w:rPr>
              <m:t>O</m:t>
            </m:r>
          </m:sub>
        </m:sSub>
      </m:oMath>
      <w:r w:rsidR="009253E8" w:rsidRPr="0001697C">
        <w:t>,</w:t>
      </w:r>
      <w:r w:rsidR="00AD1A6C">
        <w:t xml:space="preserve"> </w:t>
      </w:r>
      <w:r w:rsidR="00AD1A6C" w:rsidRPr="00D414C9">
        <w:t>R = 0.707, S = 3.60</w:t>
      </w:r>
      <w:r w:rsidR="009253E8" w:rsidRPr="009253E8">
        <w:tab/>
        <w:t>(</w:t>
      </w:r>
      <w:r w:rsidR="009253E8" w:rsidRPr="009253E8">
        <w:rPr>
          <w:i/>
        </w:rPr>
        <w:t>9</w:t>
      </w:r>
      <w:r w:rsidR="009253E8">
        <w:t>)</w:t>
      </w:r>
    </w:p>
    <w:p w:rsidR="009253E8" w:rsidRPr="009253E8" w:rsidRDefault="005656A7" w:rsidP="00AE1F4B">
      <w:pPr>
        <w:pStyle w:val="TAMainText"/>
        <w:jc w:val="center"/>
      </w:pPr>
      <m:oMath>
        <m:sSub>
          <m:sSubPr>
            <m:ctrlPr>
              <w:rPr>
                <w:rFonts w:ascii="Cambria Math" w:hAnsi="Cambria Math"/>
                <w:bCs/>
                <w:i/>
              </w:rPr>
            </m:ctrlPr>
          </m:sSubPr>
          <m:e>
            <m:r>
              <w:rPr>
                <w:rFonts w:ascii="Cambria Math" w:hAnsi="Cambria Math"/>
              </w:rPr>
              <m:t>A</m:t>
            </m:r>
          </m:e>
          <m:sub>
            <m:r>
              <w:rPr>
                <w:rFonts w:ascii="Cambria Math" w:hAnsi="Cambria Math"/>
              </w:rPr>
              <m:t>m</m:t>
            </m:r>
          </m:sub>
        </m:sSub>
        <m:r>
          <w:rPr>
            <w:rFonts w:ascii="Cambria Math" w:hAnsi="Cambria Math"/>
          </w:rPr>
          <m:t>=17.7-13.1∆+41</m:t>
        </m:r>
        <m:sSub>
          <m:sSubPr>
            <m:ctrlPr>
              <w:rPr>
                <w:rFonts w:ascii="Cambria Math" w:hAnsi="Cambria Math"/>
                <w:bCs/>
                <w:i/>
              </w:rPr>
            </m:ctrlPr>
          </m:sSubPr>
          <m:e>
            <m:r>
              <w:rPr>
                <w:rFonts w:ascii="Cambria Math" w:hAnsi="Cambria Math"/>
              </w:rPr>
              <m:t>Q</m:t>
            </m:r>
          </m:e>
          <m:sub>
            <m:r>
              <w:rPr>
                <w:rFonts w:ascii="Cambria Math" w:hAnsi="Cambria Math"/>
              </w:rPr>
              <m:t>O</m:t>
            </m:r>
          </m:sub>
        </m:sSub>
      </m:oMath>
      <w:r w:rsidR="009253E8" w:rsidRPr="009253E8">
        <w:t>, R = 0.709, S = 0.51</w:t>
      </w:r>
      <w:r w:rsidR="009253E8" w:rsidRPr="009253E8">
        <w:tab/>
      </w:r>
      <w:r w:rsidR="009253E8" w:rsidRPr="009253E8">
        <w:tab/>
        <w:t>(</w:t>
      </w:r>
      <w:r w:rsidR="009253E8" w:rsidRPr="009253E8">
        <w:rPr>
          <w:i/>
        </w:rPr>
        <w:t>10</w:t>
      </w:r>
      <w:r w:rsidR="009253E8" w:rsidRPr="009253E8">
        <w:t>)</w:t>
      </w:r>
    </w:p>
    <w:p w:rsidR="009253E8" w:rsidRPr="009253E8" w:rsidRDefault="009253E8" w:rsidP="009253E8">
      <w:pPr>
        <w:pStyle w:val="TAMainText"/>
      </w:pPr>
      <w:r w:rsidRPr="009253E8">
        <w:t>For the temperatures at 273.15 and 283.15</w:t>
      </w:r>
      <w:r w:rsidR="000A0161">
        <w:t> </w:t>
      </w:r>
      <w:r w:rsidRPr="009253E8">
        <w:t xml:space="preserve">K (Eq. </w:t>
      </w:r>
      <w:r w:rsidRPr="009253E8">
        <w:rPr>
          <w:i/>
        </w:rPr>
        <w:t>11</w:t>
      </w:r>
      <w:r w:rsidRPr="009253E8">
        <w:t>) A</w:t>
      </w:r>
      <w:r w:rsidRPr="00D414C9">
        <w:rPr>
          <w:vertAlign w:val="subscript"/>
        </w:rPr>
        <w:t>m</w:t>
      </w:r>
      <w:r w:rsidRPr="009253E8">
        <w:t xml:space="preserve"> depends o</w:t>
      </w:r>
      <w:r w:rsidR="0073545C">
        <w:t>n</w:t>
      </w:r>
      <w:r w:rsidRPr="009253E8">
        <w:t xml:space="preserve"> the nitrogen atom fraction of unbound electrons </w:t>
      </w:r>
      <w:proofErr w:type="spellStart"/>
      <w:r w:rsidRPr="009253E8">
        <w:rPr>
          <w:i/>
        </w:rPr>
        <w:t>P</w:t>
      </w:r>
      <w:r w:rsidRPr="009253E8">
        <w:rPr>
          <w:i/>
          <w:vertAlign w:val="subscript"/>
        </w:rPr>
        <w:t>Ne</w:t>
      </w:r>
      <w:proofErr w:type="spellEnd"/>
      <w:r>
        <w:t xml:space="preserve"> (calculated by the MERA model</w:t>
      </w:r>
      <w:r w:rsidR="00655DE1">
        <w:fldChar w:fldCharType="begin" w:fldLock="1"/>
      </w:r>
      <w:r w:rsidR="00773999">
        <w:instrText>ADDIN CSL_CITATION {"citationItems":[{"id":"ITEM-1","itemData":{"DOI":"10.1007/s10822-011-9440-2","ISBN":"1573-4951 (Electronic)\\n0920-654X (Linking)","ISSN":"0920654X","PMID":"21660515","abstract":"The Online Chemical Modeling Environment is a web-based platform that aims to automate and simplify the typical steps required for QSAR modeling. The platform consists of two major subsystems: the database of experimental measurements and the modeling framework. A user-contributed database contains a set of tools for easy input, search and modification of thousands of records. The OCHEM database is based on the wiki principle and focuses primarily on the quality and verifiability of the data. The database is tightly integrated with the modeling framework, which supports all the steps required to create a predictive model: data search, calculation and selection of a vast variety of molecular descriptors, application of machine learning methods, validation, analysis of the model and assessment of the applicability domain. As compared to other similar systems, OCHEM is not intended to re-implement the existing tools or models but rather to invite the original authors to contribute their results, make them publicly available, share them with other users and to become members of the growing research community. Our intention is to make OCHEM a widely used platform to perform the QSPR/QSAR studies online and share it with other users on the Web. The ultimate goal of OCHEM is collecting all possible chemoinformatics tools within one simple, reliable and user-friendly resource. The OCHEM is free for web users and it is available online at http://www.ochem.eu.","author":[{"dropping-particle":"","family":"Sushko","given":"Iurii","non-dropping-particle":"","parse-names":false,"suffix":""},{"dropping-particle":"","family":"Novotarskyi","given":"Sergii","non-dropping-particle":"","parse-names":false,"suffix":""},{"dropping-particle":"","family":"Körner","given":"Robert","non-dropping-particle":"","parse-names":false,"suffix":""},{"dropping-particle":"","family":"Pandey","given":"Anil Kumar","non-dropping-particle":"","parse-names":false,"suffix":""},{"dropping-particle":"","family":"Rupp","given":"Matthias","non-dropping-particle":"","parse-names":false,"suffix":""},{"dropping-particle":"","family":"Teetz","given":"Wolfram","non-dropping-particle":"","parse-names":false,"suffix":""},{"dropping-particle":"","family":"Brandmaier","given":"Stefan","non-dropping-particle":"","parse-names":false,"suffix":""},{"dropping-particle":"","family":"Abdelaziz","given":"Ahmed","non-dropping-particle":"","parse-names":false,"suffix":""},{"dropping-particle":"V.","family":"Prokopenko","given":"Volodymyr","non-dropping-particle":"","parse-names":false,"suffix":""},{"dropping-particle":"","family":"Tanchuk","given":"Vsevolod Y.","non-dropping-particle":"","parse-names":false,"suffix":""},{"dropping-particle":"","family":"Todeschini","given":"Roberto","non-dropping-particle":"","parse-names":false,"suffix":""},{"dropping-particle":"","family":"Varnek","given":"Alexandre","non-dropping-particle":"","parse-names":false,"suffix":""},{"dropping-particle":"","family":"Marcou","given":"Gilles","non-dropping-particle":"","parse-names":false,"suffix":""},{"dropping-particle":"","family":"Ertl","given":"Peter","non-dropping-particle":"","parse-names":false,"suffix":""},{"dropping-particle":"","family":"Potemkin","given":"Vladimir","non-dropping-particle":"","parse-names":false,"suffix":""},{"dropping-particle":"","family":"Grishina","given":"Maria","non-dropping-particle":"","parse-names":false,"suffix":""},{"dropping-particle":"","family":"Gasteiger","given":"Johann","non-dropping-particle":"","parse-names":false,"suffix":""},{"dropping-particle":"","family":"Schwab","given":"Christof","non-dropping-particle":"","parse-names":false,"suffix":""},{"dropping-particle":"","family":"Baskin","given":"Igor I.","non-dropping-particle":"","parse-names":false,"suffix":""},{"dropping-particle":"","family":"Palyulin","given":"Vladimir A.","non-dropping-particle":"","parse-names":false,"suffix":""},{"dropping-particle":"V.","family":"Radchenko","given":"Eugene","non-dropping-particle":"","parse-names":false,"suffix":""},{"dropping-particle":"","family":"Welsh","given":"William J.","non-dropping-particle":"","parse-names":false,"suffix":""},{"dropping-particle":"","family":"Kholodovych","given":"Vladyslav","non-dropping-particle":"","parse-names":false,"suffix":""},{"dropping-particle":"","family":"Chekmarev","given":"Dmitriy","non-dropping-particle":"","parse-names":false,"suffix":""},{"dropping-particle":"","family":"Cherkasov","given":"Artem","non-dropping-particle":"","parse-names":false,"suffix":""},{"dropping-particle":"","family":"Aires-De-Sousa","given":"Joao","non-dropping-particle":"","parse-names":false,"suffix":""},{"dropping-particle":"","family":"Zhang","given":"Qing You","non-dropping-particle":"","parse-names":false,"suffix":""},{"dropping-particle":"","family":"Bender","given":"Andreas","non-dropping-particle":"","parse-names":false,"suffix":""},{"dropping-particle":"","family":"Nigsch","given":"Florian","non-dropping-particle":"","parse-names":false,"suffix":""},{"dropping-particle":"","family":"Patiny","given":"Luc","non-dropping-particle":"","parse-names":false,"suffix":""},{"dropping-particle":"","family":"Williams","given":"Antony","non-dropping-particle":"","parse-names":false,"suffix":""},{"dropping-particle":"","family":"Tkachenko","given":"Valery","non-dropping-particle":"","parse-names":false,"suffix":""},{"dropping-particle":"V.","family":"Tetko","given":"Igor","non-dropping-particle":"","parse-names":false,"suffix":""}],"container-title":"Journal of Computer-Aided Molecular Design","id":"ITEM-1","issue":"6","issued":{"date-parts":[["2011"]]},"page":"533-554","title":"Online chemical modeling environment (OCHEM): Web platform for data storage, model development and publishing of chemical information","type":"article-journal","volume":"25"},"uris":["http://www.mendeley.com/documents/?uuid=b5f42c4f-7a70-4ec4-ab79-4702d0cbf623"]}],"mendeley":{"formattedCitation":"&lt;sup&gt;51&lt;/sup&gt;","plainTextFormattedCitation":"51","previouslyFormattedCitation":"&lt;sup&gt;51&lt;/sup&gt;"},"properties":{"noteIndex":0},"schema":"https://github.com/citation-style-language/schema/raw/master/csl-citation.json"}</w:instrText>
      </w:r>
      <w:r w:rsidR="00655DE1">
        <w:fldChar w:fldCharType="separate"/>
      </w:r>
      <w:r w:rsidR="00655DE1" w:rsidRPr="00655DE1">
        <w:rPr>
          <w:noProof/>
          <w:vertAlign w:val="superscript"/>
        </w:rPr>
        <w:t>51</w:t>
      </w:r>
      <w:r w:rsidR="00655DE1">
        <w:fldChar w:fldCharType="end"/>
      </w:r>
      <w:r w:rsidRPr="009253E8">
        <w:t xml:space="preserve">) and the minimum moment of inertia </w:t>
      </w:r>
      <w:r w:rsidRPr="0001697C">
        <w:rPr>
          <w:i/>
        </w:rPr>
        <w:t>I</w:t>
      </w:r>
      <w:r w:rsidRPr="009253E8">
        <w:t>. At 293.15</w:t>
      </w:r>
      <w:r w:rsidR="00D414C9">
        <w:t> </w:t>
      </w:r>
      <w:r w:rsidRPr="009253E8">
        <w:t xml:space="preserve">K (Eq. </w:t>
      </w:r>
      <w:r w:rsidRPr="009253E8">
        <w:rPr>
          <w:i/>
        </w:rPr>
        <w:t>12</w:t>
      </w:r>
      <w:r w:rsidRPr="009253E8">
        <w:t>) the minimum moment of inertia ceases to be an important factor (</w:t>
      </w:r>
      <w:r w:rsidRPr="00D414C9">
        <w:rPr>
          <w:b/>
        </w:rPr>
        <w:t>Table 6</w:t>
      </w:r>
      <w:r w:rsidRPr="009253E8">
        <w:t>). Starting with the 303.15</w:t>
      </w:r>
      <w:r w:rsidR="00D414C9">
        <w:t> </w:t>
      </w:r>
      <w:r w:rsidRPr="009253E8">
        <w:t>K this dependence is lost, probably because for the number of amino acids, the second layer is not formed (indeed, in many cases, the saturation significantly decreases). At the temperature of 313.15</w:t>
      </w:r>
      <w:r w:rsidR="00D414C9">
        <w:t> </w:t>
      </w:r>
      <w:r w:rsidRPr="009253E8">
        <w:t xml:space="preserve">K, saturation starts being dependent on the carbonyl oxygen </w:t>
      </w:r>
      <w:r w:rsidRPr="009253E8">
        <w:rPr>
          <w:i/>
        </w:rPr>
        <w:t>Q</w:t>
      </w:r>
      <w:r w:rsidRPr="009253E8">
        <w:rPr>
          <w:i/>
          <w:vertAlign w:val="subscript"/>
        </w:rPr>
        <w:t>O</w:t>
      </w:r>
      <w:r w:rsidRPr="009253E8">
        <w:t xml:space="preserve"> and </w:t>
      </w:r>
      <w:r w:rsidRPr="00D414C9">
        <w:rPr>
          <w:i/>
        </w:rPr>
        <w:t>α</w:t>
      </w:r>
      <w:r w:rsidRPr="009253E8">
        <w:t xml:space="preserve">-hydrogen </w:t>
      </w:r>
      <w:r w:rsidRPr="009253E8">
        <w:rPr>
          <w:i/>
        </w:rPr>
        <w:t>Q</w:t>
      </w:r>
      <w:r w:rsidRPr="009253E8">
        <w:rPr>
          <w:i/>
          <w:vertAlign w:val="subscript"/>
        </w:rPr>
        <w:t>H</w:t>
      </w:r>
      <w:r w:rsidRPr="009253E8">
        <w:t xml:space="preserve"> charges (Eq. </w:t>
      </w:r>
      <w:r w:rsidRPr="009253E8">
        <w:rPr>
          <w:i/>
        </w:rPr>
        <w:t>13</w:t>
      </w:r>
      <w:r w:rsidRPr="009253E8">
        <w:t>).</w:t>
      </w:r>
    </w:p>
    <w:p w:rsidR="009253E8" w:rsidRPr="009253E8" w:rsidRDefault="005656A7" w:rsidP="00AE1F4B">
      <w:pPr>
        <w:pStyle w:val="TAMainText"/>
        <w:jc w:val="center"/>
      </w:pPr>
      <m:oMath>
        <m:sSub>
          <m:sSubPr>
            <m:ctrlPr>
              <w:rPr>
                <w:rFonts w:ascii="Cambria Math" w:hAnsi="Cambria Math"/>
                <w:bCs/>
                <w:i/>
              </w:rPr>
            </m:ctrlPr>
          </m:sSubPr>
          <m:e>
            <m:r>
              <w:rPr>
                <w:rFonts w:ascii="Cambria Math" w:hAnsi="Cambria Math"/>
              </w:rPr>
              <m:t>A</m:t>
            </m:r>
          </m:e>
          <m:sub>
            <m:r>
              <w:rPr>
                <w:rFonts w:ascii="Cambria Math" w:hAnsi="Cambria Math"/>
              </w:rPr>
              <m:t>m</m:t>
            </m:r>
          </m:sub>
        </m:sSub>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b</m:t>
            </m:r>
          </m:e>
          <m:sub>
            <m:r>
              <w:rPr>
                <w:rFonts w:ascii="Cambria Math" w:hAnsi="Cambria Math"/>
              </w:rPr>
              <m:t>2</m:t>
            </m:r>
          </m:sub>
        </m:sSub>
        <m:sSub>
          <m:sSubPr>
            <m:ctrlPr>
              <w:rPr>
                <w:rFonts w:ascii="Cambria Math" w:hAnsi="Cambria Math"/>
                <w:bCs/>
                <w:i/>
              </w:rPr>
            </m:ctrlPr>
          </m:sSubPr>
          <m:e>
            <m:r>
              <w:rPr>
                <w:rFonts w:ascii="Cambria Math" w:hAnsi="Cambria Math"/>
              </w:rPr>
              <m:t>P</m:t>
            </m:r>
          </m:e>
          <m:sub>
            <m:r>
              <w:rPr>
                <w:rFonts w:ascii="Cambria Math" w:hAnsi="Cambria Math"/>
              </w:rPr>
              <m:t>Ne</m:t>
            </m:r>
          </m:sub>
        </m:sSub>
        <m:r>
          <w:rPr>
            <w:rFonts w:ascii="Cambria Math" w:hAnsi="Cambria Math"/>
          </w:rPr>
          <m:t>+</m:t>
        </m:r>
        <m:sSub>
          <m:sSubPr>
            <m:ctrlPr>
              <w:rPr>
                <w:rFonts w:ascii="Cambria Math" w:hAnsi="Cambria Math"/>
                <w:bCs/>
                <w:i/>
              </w:rPr>
            </m:ctrlPr>
          </m:sSubPr>
          <m:e>
            <m:r>
              <w:rPr>
                <w:rFonts w:ascii="Cambria Math" w:hAnsi="Cambria Math"/>
              </w:rPr>
              <m:t>c</m:t>
            </m:r>
          </m:e>
          <m:sub>
            <m:r>
              <w:rPr>
                <w:rFonts w:ascii="Cambria Math" w:hAnsi="Cambria Math"/>
              </w:rPr>
              <m:t>2</m:t>
            </m:r>
          </m:sub>
        </m:sSub>
        <m:r>
          <w:rPr>
            <w:rFonts w:ascii="Cambria Math" w:hAnsi="Cambria Math"/>
          </w:rPr>
          <m:t>I</m:t>
        </m:r>
      </m:oMath>
      <w:r w:rsidR="009253E8">
        <w:tab/>
      </w:r>
      <w:r w:rsidR="009253E8">
        <w:tab/>
        <w:t>(</w:t>
      </w:r>
      <w:r w:rsidR="009253E8" w:rsidRPr="009253E8">
        <w:rPr>
          <w:i/>
        </w:rPr>
        <w:t>11</w:t>
      </w:r>
      <w:r w:rsidR="009253E8">
        <w:t>)</w:t>
      </w:r>
    </w:p>
    <w:p w:rsidR="00C96030" w:rsidRDefault="005656A7" w:rsidP="00AE1F4B">
      <w:pPr>
        <w:pStyle w:val="TAMainText"/>
        <w:jc w:val="center"/>
      </w:pPr>
      <m:oMath>
        <m:sSub>
          <m:sSubPr>
            <m:ctrlPr>
              <w:rPr>
                <w:rFonts w:ascii="Cambria Math" w:hAnsi="Cambria Math"/>
                <w:bCs/>
                <w:i/>
              </w:rPr>
            </m:ctrlPr>
          </m:sSubPr>
          <m:e>
            <m:r>
              <w:rPr>
                <w:rFonts w:ascii="Cambria Math" w:hAnsi="Cambria Math"/>
              </w:rPr>
              <m:t>A</m:t>
            </m:r>
          </m:e>
          <m:sub>
            <m:r>
              <w:rPr>
                <w:rFonts w:ascii="Cambria Math" w:hAnsi="Cambria Math"/>
              </w:rPr>
              <m:t>m</m:t>
            </m:r>
          </m:sub>
        </m:sSub>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b</m:t>
            </m:r>
          </m:e>
          <m:sub>
            <m:r>
              <w:rPr>
                <w:rFonts w:ascii="Cambria Math" w:hAnsi="Cambria Math"/>
              </w:rPr>
              <m:t>2</m:t>
            </m:r>
          </m:sub>
        </m:sSub>
        <m:sSub>
          <m:sSubPr>
            <m:ctrlPr>
              <w:rPr>
                <w:rFonts w:ascii="Cambria Math" w:hAnsi="Cambria Math"/>
                <w:bCs/>
                <w:i/>
              </w:rPr>
            </m:ctrlPr>
          </m:sSubPr>
          <m:e>
            <m:r>
              <w:rPr>
                <w:rFonts w:ascii="Cambria Math" w:hAnsi="Cambria Math"/>
              </w:rPr>
              <m:t>P</m:t>
            </m:r>
          </m:e>
          <m:sub>
            <m:r>
              <w:rPr>
                <w:rFonts w:ascii="Cambria Math" w:hAnsi="Cambria Math"/>
              </w:rPr>
              <m:t>Ne</m:t>
            </m:r>
          </m:sub>
        </m:sSub>
      </m:oMath>
      <w:r w:rsidR="009253E8" w:rsidRPr="009253E8">
        <w:tab/>
      </w:r>
      <w:r w:rsidR="009253E8" w:rsidRPr="009253E8">
        <w:tab/>
      </w:r>
      <w:r w:rsidR="009253E8" w:rsidRPr="009253E8">
        <w:tab/>
        <w:t>(</w:t>
      </w:r>
      <w:r w:rsidR="009253E8" w:rsidRPr="009253E8">
        <w:rPr>
          <w:i/>
        </w:rPr>
        <w:t>12</w:t>
      </w:r>
      <w:r w:rsidR="009253E8" w:rsidRPr="009253E8">
        <w:t>)</w:t>
      </w:r>
    </w:p>
    <w:p w:rsidR="00C96030" w:rsidRDefault="00C96030" w:rsidP="00C96030">
      <w:pPr>
        <w:pStyle w:val="BBAuthorName"/>
      </w:pPr>
      <w:r>
        <w:br w:type="page"/>
      </w:r>
    </w:p>
    <w:p w:rsidR="00FF13A7" w:rsidRDefault="00FF13A7" w:rsidP="00FF13A7">
      <w:pPr>
        <w:pStyle w:val="VDTableTitle"/>
      </w:pPr>
      <w:proofErr w:type="gramStart"/>
      <w:r w:rsidRPr="00FF13A7">
        <w:rPr>
          <w:b/>
        </w:rPr>
        <w:lastRenderedPageBreak/>
        <w:t>Table 6.</w:t>
      </w:r>
      <w:proofErr w:type="gramEnd"/>
      <w:r w:rsidRPr="00FF13A7">
        <w:t xml:space="preserve"> The values of the parameters </w:t>
      </w:r>
      <w:r w:rsidRPr="00FF13A7">
        <w:rPr>
          <w:i/>
        </w:rPr>
        <w:t>a</w:t>
      </w:r>
      <w:r w:rsidRPr="00FF13A7">
        <w:rPr>
          <w:i/>
          <w:vertAlign w:val="subscript"/>
        </w:rPr>
        <w:t>2</w:t>
      </w:r>
      <w:r w:rsidRPr="00FF13A7">
        <w:t xml:space="preserve">, </w:t>
      </w:r>
      <w:r w:rsidRPr="00FF13A7">
        <w:rPr>
          <w:i/>
        </w:rPr>
        <w:t>b</w:t>
      </w:r>
      <w:r w:rsidRPr="00FF13A7">
        <w:rPr>
          <w:i/>
          <w:vertAlign w:val="subscript"/>
        </w:rPr>
        <w:t>2</w:t>
      </w:r>
      <w:r w:rsidRPr="00FF13A7">
        <w:t xml:space="preserve"> and </w:t>
      </w:r>
      <w:r w:rsidRPr="00FF13A7">
        <w:rPr>
          <w:i/>
        </w:rPr>
        <w:t>c</w:t>
      </w:r>
      <w:r w:rsidRPr="00FF13A7">
        <w:rPr>
          <w:i/>
          <w:vertAlign w:val="subscript"/>
        </w:rPr>
        <w:t>2</w:t>
      </w:r>
      <w:r w:rsidRPr="00FF13A7">
        <w:t xml:space="preserve"> for different temperatures, the correlation coefficients R and the standard deviations 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1535"/>
        <w:gridCol w:w="1558"/>
        <w:gridCol w:w="1460"/>
        <w:gridCol w:w="1601"/>
        <w:gridCol w:w="1650"/>
      </w:tblGrid>
      <w:tr w:rsidR="00FF13A7" w:rsidRPr="00FF13A7" w:rsidTr="0047532B">
        <w:trPr>
          <w:tblHeader/>
        </w:trPr>
        <w:tc>
          <w:tcPr>
            <w:tcW w:w="1541" w:type="dxa"/>
            <w:tcBorders>
              <w:bottom w:val="single" w:sz="4" w:space="0" w:color="auto"/>
            </w:tcBorders>
          </w:tcPr>
          <w:p w:rsidR="00FF13A7" w:rsidRPr="00FF13A7" w:rsidRDefault="00FF13A7" w:rsidP="00FF13A7">
            <w:pPr>
              <w:pStyle w:val="TCTableBody"/>
              <w:jc w:val="center"/>
              <w:rPr>
                <w:b/>
              </w:rPr>
            </w:pPr>
            <w:r w:rsidRPr="00FF13A7">
              <w:rPr>
                <w:b/>
              </w:rPr>
              <w:t xml:space="preserve">T, </w:t>
            </w:r>
            <w:r w:rsidRPr="00FF13A7">
              <w:rPr>
                <w:b/>
                <w:i/>
              </w:rPr>
              <w:t>K</w:t>
            </w:r>
          </w:p>
        </w:tc>
        <w:tc>
          <w:tcPr>
            <w:tcW w:w="1535" w:type="dxa"/>
            <w:tcBorders>
              <w:bottom w:val="single" w:sz="4" w:space="0" w:color="auto"/>
            </w:tcBorders>
          </w:tcPr>
          <w:p w:rsidR="00FF13A7" w:rsidRPr="00FF13A7" w:rsidRDefault="00FF13A7" w:rsidP="00FF13A7">
            <w:pPr>
              <w:pStyle w:val="TCTableBody"/>
              <w:jc w:val="center"/>
              <w:rPr>
                <w:b/>
              </w:rPr>
            </w:pPr>
            <w:r w:rsidRPr="00FF13A7">
              <w:rPr>
                <w:b/>
              </w:rPr>
              <w:t>a</w:t>
            </w:r>
            <w:r w:rsidRPr="00FF13A7">
              <w:rPr>
                <w:b/>
                <w:vertAlign w:val="subscript"/>
              </w:rPr>
              <w:t>2</w:t>
            </w:r>
          </w:p>
        </w:tc>
        <w:tc>
          <w:tcPr>
            <w:tcW w:w="1558" w:type="dxa"/>
            <w:tcBorders>
              <w:bottom w:val="single" w:sz="4" w:space="0" w:color="auto"/>
            </w:tcBorders>
          </w:tcPr>
          <w:p w:rsidR="00FF13A7" w:rsidRPr="00FF13A7" w:rsidRDefault="00FF13A7" w:rsidP="00FF13A7">
            <w:pPr>
              <w:pStyle w:val="TCTableBody"/>
              <w:jc w:val="center"/>
              <w:rPr>
                <w:b/>
              </w:rPr>
            </w:pPr>
            <w:r w:rsidRPr="00FF13A7">
              <w:rPr>
                <w:b/>
              </w:rPr>
              <w:t>b</w:t>
            </w:r>
            <w:r w:rsidRPr="00FF13A7">
              <w:rPr>
                <w:b/>
                <w:vertAlign w:val="subscript"/>
              </w:rPr>
              <w:t>2</w:t>
            </w:r>
          </w:p>
        </w:tc>
        <w:tc>
          <w:tcPr>
            <w:tcW w:w="1460" w:type="dxa"/>
            <w:tcBorders>
              <w:bottom w:val="single" w:sz="4" w:space="0" w:color="auto"/>
            </w:tcBorders>
          </w:tcPr>
          <w:p w:rsidR="00FF13A7" w:rsidRPr="00FF13A7" w:rsidRDefault="00FF13A7" w:rsidP="00FF13A7">
            <w:pPr>
              <w:pStyle w:val="TCTableBody"/>
              <w:jc w:val="center"/>
              <w:rPr>
                <w:b/>
              </w:rPr>
            </w:pPr>
            <w:r w:rsidRPr="00FF13A7">
              <w:rPr>
                <w:b/>
              </w:rPr>
              <w:t>c</w:t>
            </w:r>
            <w:r w:rsidRPr="00FF13A7">
              <w:rPr>
                <w:b/>
                <w:vertAlign w:val="subscript"/>
              </w:rPr>
              <w:t>2</w:t>
            </w:r>
          </w:p>
        </w:tc>
        <w:tc>
          <w:tcPr>
            <w:tcW w:w="1601" w:type="dxa"/>
            <w:tcBorders>
              <w:bottom w:val="single" w:sz="4" w:space="0" w:color="auto"/>
            </w:tcBorders>
          </w:tcPr>
          <w:p w:rsidR="00FF13A7" w:rsidRPr="00FF13A7" w:rsidRDefault="00FF13A7" w:rsidP="00FF13A7">
            <w:pPr>
              <w:pStyle w:val="TCTableBody"/>
              <w:jc w:val="center"/>
              <w:rPr>
                <w:b/>
              </w:rPr>
            </w:pPr>
            <w:r w:rsidRPr="00FF13A7">
              <w:rPr>
                <w:b/>
              </w:rPr>
              <w:t>R</w:t>
            </w:r>
          </w:p>
        </w:tc>
        <w:tc>
          <w:tcPr>
            <w:tcW w:w="1650" w:type="dxa"/>
            <w:tcBorders>
              <w:bottom w:val="single" w:sz="4" w:space="0" w:color="auto"/>
            </w:tcBorders>
          </w:tcPr>
          <w:p w:rsidR="00FF13A7" w:rsidRPr="00FF13A7" w:rsidRDefault="00FF13A7" w:rsidP="00FF13A7">
            <w:pPr>
              <w:pStyle w:val="TCTableBody"/>
              <w:jc w:val="center"/>
              <w:rPr>
                <w:b/>
              </w:rPr>
            </w:pPr>
            <w:r w:rsidRPr="00FF13A7">
              <w:rPr>
                <w:b/>
              </w:rPr>
              <w:t xml:space="preserve">S, </w:t>
            </w:r>
            <w:r w:rsidRPr="00FF13A7">
              <w:rPr>
                <w:b/>
                <w:i/>
              </w:rPr>
              <w:t>mmol/g</w:t>
            </w:r>
          </w:p>
        </w:tc>
      </w:tr>
      <w:tr w:rsidR="00FF13A7" w:rsidRPr="00FF13A7" w:rsidTr="0047532B">
        <w:tc>
          <w:tcPr>
            <w:tcW w:w="1541" w:type="dxa"/>
            <w:tcBorders>
              <w:top w:val="single" w:sz="4" w:space="0" w:color="auto"/>
            </w:tcBorders>
          </w:tcPr>
          <w:p w:rsidR="00FF13A7" w:rsidRPr="00FF13A7" w:rsidRDefault="00FF13A7" w:rsidP="00FF13A7">
            <w:pPr>
              <w:pStyle w:val="TCTableBody"/>
              <w:jc w:val="center"/>
            </w:pPr>
            <w:r w:rsidRPr="00FF13A7">
              <w:t>273.15</w:t>
            </w:r>
          </w:p>
        </w:tc>
        <w:tc>
          <w:tcPr>
            <w:tcW w:w="1535" w:type="dxa"/>
            <w:tcBorders>
              <w:top w:val="single" w:sz="4" w:space="0" w:color="auto"/>
            </w:tcBorders>
          </w:tcPr>
          <w:p w:rsidR="00FF13A7" w:rsidRPr="00FF13A7" w:rsidRDefault="00FF13A7" w:rsidP="00FF13A7">
            <w:pPr>
              <w:pStyle w:val="TCTableBody"/>
              <w:jc w:val="center"/>
            </w:pPr>
            <w:r>
              <w:rPr>
                <w:lang w:val="en-US"/>
              </w:rPr>
              <w:noBreakHyphen/>
            </w:r>
            <w:r w:rsidRPr="00FF13A7">
              <w:t>18.8</w:t>
            </w:r>
          </w:p>
        </w:tc>
        <w:tc>
          <w:tcPr>
            <w:tcW w:w="1558" w:type="dxa"/>
            <w:tcBorders>
              <w:top w:val="single" w:sz="4" w:space="0" w:color="auto"/>
            </w:tcBorders>
          </w:tcPr>
          <w:p w:rsidR="00FF13A7" w:rsidRPr="00FF13A7" w:rsidRDefault="00FF13A7" w:rsidP="00FF13A7">
            <w:pPr>
              <w:pStyle w:val="TCTableBody"/>
              <w:jc w:val="center"/>
            </w:pPr>
            <w:r w:rsidRPr="00FF13A7">
              <w:t>25.5</w:t>
            </w:r>
          </w:p>
        </w:tc>
        <w:tc>
          <w:tcPr>
            <w:tcW w:w="1460" w:type="dxa"/>
            <w:tcBorders>
              <w:top w:val="single" w:sz="4" w:space="0" w:color="auto"/>
            </w:tcBorders>
          </w:tcPr>
          <w:p w:rsidR="00FF13A7" w:rsidRPr="00FF13A7" w:rsidRDefault="00FF13A7" w:rsidP="00FF13A7">
            <w:pPr>
              <w:pStyle w:val="TCTableBody"/>
              <w:jc w:val="center"/>
            </w:pPr>
            <w:r w:rsidRPr="00FF13A7">
              <w:t>0.0282</w:t>
            </w:r>
          </w:p>
        </w:tc>
        <w:tc>
          <w:tcPr>
            <w:tcW w:w="1601" w:type="dxa"/>
            <w:tcBorders>
              <w:top w:val="single" w:sz="4" w:space="0" w:color="auto"/>
            </w:tcBorders>
          </w:tcPr>
          <w:p w:rsidR="00FF13A7" w:rsidRPr="00FF13A7" w:rsidRDefault="00FF13A7" w:rsidP="00FF13A7">
            <w:pPr>
              <w:pStyle w:val="TCTableBody"/>
              <w:jc w:val="center"/>
            </w:pPr>
            <w:r w:rsidRPr="00FF13A7">
              <w:t>0.942</w:t>
            </w:r>
          </w:p>
        </w:tc>
        <w:tc>
          <w:tcPr>
            <w:tcW w:w="1650" w:type="dxa"/>
            <w:tcBorders>
              <w:top w:val="single" w:sz="4" w:space="0" w:color="auto"/>
            </w:tcBorders>
          </w:tcPr>
          <w:p w:rsidR="00FF13A7" w:rsidRPr="00FF13A7" w:rsidRDefault="00FF13A7" w:rsidP="00FF13A7">
            <w:pPr>
              <w:pStyle w:val="TCTableBody"/>
              <w:jc w:val="center"/>
            </w:pPr>
            <w:r w:rsidRPr="00FF13A7">
              <w:t>1.7</w:t>
            </w:r>
          </w:p>
        </w:tc>
      </w:tr>
      <w:tr w:rsidR="00FF13A7" w:rsidRPr="00FF13A7" w:rsidTr="0047532B">
        <w:tc>
          <w:tcPr>
            <w:tcW w:w="1541" w:type="dxa"/>
          </w:tcPr>
          <w:p w:rsidR="00FF13A7" w:rsidRPr="00FF13A7" w:rsidRDefault="00FF13A7" w:rsidP="00FF13A7">
            <w:pPr>
              <w:pStyle w:val="TCTableBody"/>
              <w:jc w:val="center"/>
            </w:pPr>
            <w:r w:rsidRPr="00FF13A7">
              <w:t>283.15</w:t>
            </w:r>
          </w:p>
        </w:tc>
        <w:tc>
          <w:tcPr>
            <w:tcW w:w="1535" w:type="dxa"/>
          </w:tcPr>
          <w:p w:rsidR="00FF13A7" w:rsidRPr="00FF13A7" w:rsidRDefault="00FF13A7" w:rsidP="00FF13A7">
            <w:pPr>
              <w:pStyle w:val="TCTableBody"/>
              <w:jc w:val="center"/>
            </w:pPr>
            <w:r>
              <w:rPr>
                <w:lang w:val="en-US"/>
              </w:rPr>
              <w:noBreakHyphen/>
            </w:r>
            <w:r w:rsidRPr="00FF13A7">
              <w:t>13.4</w:t>
            </w:r>
          </w:p>
        </w:tc>
        <w:tc>
          <w:tcPr>
            <w:tcW w:w="1558" w:type="dxa"/>
          </w:tcPr>
          <w:p w:rsidR="00FF13A7" w:rsidRPr="00FF13A7" w:rsidRDefault="00FF13A7" w:rsidP="00FF13A7">
            <w:pPr>
              <w:pStyle w:val="TCTableBody"/>
              <w:jc w:val="center"/>
            </w:pPr>
            <w:r w:rsidRPr="00FF13A7">
              <w:t>22.5</w:t>
            </w:r>
          </w:p>
        </w:tc>
        <w:tc>
          <w:tcPr>
            <w:tcW w:w="1460" w:type="dxa"/>
          </w:tcPr>
          <w:p w:rsidR="00FF13A7" w:rsidRPr="00FF13A7" w:rsidRDefault="00FF13A7" w:rsidP="00FF13A7">
            <w:pPr>
              <w:pStyle w:val="TCTableBody"/>
              <w:jc w:val="center"/>
            </w:pPr>
            <w:r w:rsidRPr="00FF13A7">
              <w:t>0.0084</w:t>
            </w:r>
          </w:p>
        </w:tc>
        <w:tc>
          <w:tcPr>
            <w:tcW w:w="1601" w:type="dxa"/>
          </w:tcPr>
          <w:p w:rsidR="00FF13A7" w:rsidRPr="00FF13A7" w:rsidRDefault="00FF13A7" w:rsidP="00FF13A7">
            <w:pPr>
              <w:pStyle w:val="TCTableBody"/>
              <w:jc w:val="center"/>
            </w:pPr>
            <w:r w:rsidRPr="00FF13A7">
              <w:t>0.931</w:t>
            </w:r>
          </w:p>
        </w:tc>
        <w:tc>
          <w:tcPr>
            <w:tcW w:w="1650" w:type="dxa"/>
          </w:tcPr>
          <w:p w:rsidR="00FF13A7" w:rsidRPr="00FF13A7" w:rsidRDefault="00FF13A7" w:rsidP="00FF13A7">
            <w:pPr>
              <w:pStyle w:val="TCTableBody"/>
              <w:jc w:val="center"/>
            </w:pPr>
            <w:r w:rsidRPr="00FF13A7">
              <w:t>0.85</w:t>
            </w:r>
          </w:p>
        </w:tc>
      </w:tr>
      <w:tr w:rsidR="00FF13A7" w:rsidRPr="00FF13A7" w:rsidTr="0047532B">
        <w:tc>
          <w:tcPr>
            <w:tcW w:w="1541" w:type="dxa"/>
            <w:tcBorders>
              <w:bottom w:val="single" w:sz="4" w:space="0" w:color="auto"/>
            </w:tcBorders>
          </w:tcPr>
          <w:p w:rsidR="00FF13A7" w:rsidRPr="00FF13A7" w:rsidRDefault="00FF13A7" w:rsidP="00FF13A7">
            <w:pPr>
              <w:pStyle w:val="TCTableBody"/>
              <w:jc w:val="center"/>
            </w:pPr>
            <w:r w:rsidRPr="00FF13A7">
              <w:t>293.15</w:t>
            </w:r>
          </w:p>
        </w:tc>
        <w:tc>
          <w:tcPr>
            <w:tcW w:w="1535" w:type="dxa"/>
            <w:tcBorders>
              <w:bottom w:val="single" w:sz="4" w:space="0" w:color="auto"/>
            </w:tcBorders>
          </w:tcPr>
          <w:p w:rsidR="00FF13A7" w:rsidRPr="00FF13A7" w:rsidRDefault="00FF13A7" w:rsidP="00FF13A7">
            <w:pPr>
              <w:pStyle w:val="TCTableBody"/>
              <w:jc w:val="center"/>
            </w:pPr>
            <w:r>
              <w:rPr>
                <w:lang w:val="en-US"/>
              </w:rPr>
              <w:noBreakHyphen/>
            </w:r>
            <w:r w:rsidRPr="00FF13A7">
              <w:t>7.2</w:t>
            </w:r>
          </w:p>
        </w:tc>
        <w:tc>
          <w:tcPr>
            <w:tcW w:w="1558" w:type="dxa"/>
            <w:tcBorders>
              <w:bottom w:val="single" w:sz="4" w:space="0" w:color="auto"/>
            </w:tcBorders>
          </w:tcPr>
          <w:p w:rsidR="00FF13A7" w:rsidRPr="00FF13A7" w:rsidRDefault="00FF13A7" w:rsidP="00FF13A7">
            <w:pPr>
              <w:pStyle w:val="TCTableBody"/>
              <w:jc w:val="center"/>
            </w:pPr>
            <w:r w:rsidRPr="00FF13A7">
              <w:t>14.6</w:t>
            </w:r>
          </w:p>
        </w:tc>
        <w:tc>
          <w:tcPr>
            <w:tcW w:w="1460" w:type="dxa"/>
            <w:tcBorders>
              <w:bottom w:val="single" w:sz="4" w:space="0" w:color="auto"/>
            </w:tcBorders>
          </w:tcPr>
          <w:p w:rsidR="00FF13A7" w:rsidRPr="00FF13A7" w:rsidRDefault="00FF13A7" w:rsidP="00FF13A7">
            <w:pPr>
              <w:pStyle w:val="TCTableBody"/>
              <w:jc w:val="center"/>
            </w:pPr>
            <w:r w:rsidRPr="00FF13A7">
              <w:t>-</w:t>
            </w:r>
          </w:p>
        </w:tc>
        <w:tc>
          <w:tcPr>
            <w:tcW w:w="1601" w:type="dxa"/>
            <w:tcBorders>
              <w:bottom w:val="single" w:sz="4" w:space="0" w:color="auto"/>
            </w:tcBorders>
          </w:tcPr>
          <w:p w:rsidR="00FF13A7" w:rsidRPr="00FF13A7" w:rsidRDefault="00FF13A7" w:rsidP="00FF13A7">
            <w:pPr>
              <w:pStyle w:val="TCTableBody"/>
              <w:jc w:val="center"/>
            </w:pPr>
            <w:r w:rsidRPr="00FF13A7">
              <w:t>0.776</w:t>
            </w:r>
          </w:p>
        </w:tc>
        <w:tc>
          <w:tcPr>
            <w:tcW w:w="1650" w:type="dxa"/>
            <w:tcBorders>
              <w:bottom w:val="single" w:sz="4" w:space="0" w:color="auto"/>
            </w:tcBorders>
          </w:tcPr>
          <w:p w:rsidR="00FF13A7" w:rsidRPr="00FF13A7" w:rsidRDefault="00FF13A7" w:rsidP="00FF13A7">
            <w:pPr>
              <w:pStyle w:val="TCTableBody"/>
              <w:jc w:val="center"/>
            </w:pPr>
            <w:r w:rsidRPr="00FF13A7">
              <w:t>0.67</w:t>
            </w:r>
          </w:p>
        </w:tc>
      </w:tr>
    </w:tbl>
    <w:p w:rsidR="00FF13A7" w:rsidRPr="00FF13A7" w:rsidRDefault="00FF13A7" w:rsidP="00FF13A7"/>
    <w:p w:rsidR="00317E0D" w:rsidRDefault="005656A7" w:rsidP="00AE1F4B">
      <w:pPr>
        <w:pStyle w:val="TAMainText"/>
        <w:jc w:val="center"/>
      </w:pPr>
      <m:oMath>
        <m:sSub>
          <m:sSubPr>
            <m:ctrlPr>
              <w:rPr>
                <w:rFonts w:ascii="Cambria Math" w:hAnsi="Cambria Math"/>
                <w:bCs/>
                <w:i/>
              </w:rPr>
            </m:ctrlPr>
          </m:sSubPr>
          <m:e>
            <m:r>
              <w:rPr>
                <w:rFonts w:ascii="Cambria Math" w:hAnsi="Cambria Math"/>
              </w:rPr>
              <m:t>A</m:t>
            </m:r>
          </m:e>
          <m:sub>
            <m:r>
              <w:rPr>
                <w:rFonts w:ascii="Cambria Math" w:hAnsi="Cambria Math"/>
              </w:rPr>
              <m:t>m</m:t>
            </m:r>
          </m:sub>
        </m:sSub>
        <m:r>
          <w:rPr>
            <w:rFonts w:ascii="Cambria Math" w:hAnsi="Cambria Math"/>
          </w:rPr>
          <m:t>=8.2+32.6</m:t>
        </m:r>
        <m:sSub>
          <m:sSubPr>
            <m:ctrlPr>
              <w:rPr>
                <w:rFonts w:ascii="Cambria Math" w:hAnsi="Cambria Math"/>
                <w:bCs/>
                <w:i/>
              </w:rPr>
            </m:ctrlPr>
          </m:sSubPr>
          <m:e>
            <m:r>
              <w:rPr>
                <w:rFonts w:ascii="Cambria Math" w:hAnsi="Cambria Math"/>
              </w:rPr>
              <m:t>Q</m:t>
            </m:r>
          </m:e>
          <m:sub>
            <m:r>
              <w:rPr>
                <w:rFonts w:ascii="Cambria Math" w:hAnsi="Cambria Math"/>
              </w:rPr>
              <m:t>O</m:t>
            </m:r>
          </m:sub>
        </m:sSub>
        <m:r>
          <w:rPr>
            <w:rFonts w:ascii="Cambria Math" w:hAnsi="Cambria Math"/>
          </w:rPr>
          <m:t>+21.7</m:t>
        </m:r>
        <m:sSub>
          <m:sSubPr>
            <m:ctrlPr>
              <w:rPr>
                <w:rFonts w:ascii="Cambria Math" w:hAnsi="Cambria Math"/>
                <w:bCs/>
                <w:i/>
              </w:rPr>
            </m:ctrlPr>
          </m:sSubPr>
          <m:e>
            <m:r>
              <w:rPr>
                <w:rFonts w:ascii="Cambria Math" w:hAnsi="Cambria Math"/>
              </w:rPr>
              <m:t>Q</m:t>
            </m:r>
          </m:e>
          <m:sub>
            <m:r>
              <w:rPr>
                <w:rFonts w:ascii="Cambria Math" w:hAnsi="Cambria Math"/>
              </w:rPr>
              <m:t>H</m:t>
            </m:r>
          </m:sub>
        </m:sSub>
      </m:oMath>
      <w:r w:rsidR="009253E8" w:rsidRPr="009253E8">
        <w:t>, R = 0.788, S = 0.35</w:t>
      </w:r>
      <w:r w:rsidR="009253E8" w:rsidRPr="009253E8">
        <w:tab/>
        <w:t>(</w:t>
      </w:r>
      <w:r w:rsidR="009253E8" w:rsidRPr="009253E8">
        <w:rPr>
          <w:i/>
        </w:rPr>
        <w:t>13</w:t>
      </w:r>
      <w:r w:rsidR="009253E8" w:rsidRPr="009253E8">
        <w:t>)</w:t>
      </w:r>
    </w:p>
    <w:p w:rsidR="00773999" w:rsidRPr="005532D4" w:rsidRDefault="00317E0D" w:rsidP="00773999">
      <w:pPr>
        <w:pStyle w:val="TAMainText"/>
      </w:pPr>
      <w:proofErr w:type="gramStart"/>
      <w:r w:rsidRPr="00317E0D">
        <w:rPr>
          <w:b/>
        </w:rPr>
        <w:t>Theoretical study of the amino acid complexation with TiO</w:t>
      </w:r>
      <w:r w:rsidRPr="00317E0D">
        <w:rPr>
          <w:b/>
          <w:vertAlign w:val="subscript"/>
        </w:rPr>
        <w:t>2</w:t>
      </w:r>
      <w:r w:rsidRPr="00317E0D">
        <w:rPr>
          <w:b/>
        </w:rPr>
        <w:t xml:space="preserve"> nanoparticles.</w:t>
      </w:r>
      <w:proofErr w:type="gramEnd"/>
      <w:r w:rsidRPr="00317E0D">
        <w:t xml:space="preserve"> The intermolecular co-relation of titanium dioxide nanoparticles and amino acids were simulated using model particles with the composition Ti</w:t>
      </w:r>
      <w:r w:rsidRPr="00317E0D">
        <w:rPr>
          <w:vertAlign w:val="subscript"/>
        </w:rPr>
        <w:t>1028</w:t>
      </w:r>
      <w:r w:rsidRPr="00317E0D">
        <w:t>O</w:t>
      </w:r>
      <w:r w:rsidRPr="00317E0D">
        <w:rPr>
          <w:vertAlign w:val="subscript"/>
        </w:rPr>
        <w:t>2056</w:t>
      </w:r>
      <w:r w:rsidR="00643AB5">
        <w:t>. Size of the model</w:t>
      </w:r>
      <w:r w:rsidR="00162047">
        <w:t>ed particles corresponded to the size of the synthesized TiO</w:t>
      </w:r>
      <w:r w:rsidR="00162047" w:rsidRPr="00162047">
        <w:rPr>
          <w:vertAlign w:val="subscript"/>
        </w:rPr>
        <w:t>2</w:t>
      </w:r>
      <w:r w:rsidR="00162047">
        <w:rPr>
          <w:vertAlign w:val="subscript"/>
        </w:rPr>
        <w:t xml:space="preserve"> </w:t>
      </w:r>
      <w:r w:rsidR="00162047" w:rsidRPr="00162047">
        <w:t>nanocrystals</w:t>
      </w:r>
      <w:r w:rsidR="00162047">
        <w:rPr>
          <w:vertAlign w:val="subscript"/>
        </w:rPr>
        <w:t>,</w:t>
      </w:r>
      <w:r w:rsidR="00162047">
        <w:t xml:space="preserve"> calculated with </w:t>
      </w:r>
      <w:proofErr w:type="spellStart"/>
      <w:r w:rsidR="00162047">
        <w:t>Sherrer</w:t>
      </w:r>
      <w:proofErr w:type="spellEnd"/>
      <w:r w:rsidR="00162047">
        <w:t xml:space="preserve"> equation, and fit the mode of the TEM-observed size distribution</w:t>
      </w:r>
      <w:r w:rsidRPr="00317E0D">
        <w:t>. Modeling of titanium dioxide complexes with amino acid zwitterions and energy minimization by geometrical parameters were carrie</w:t>
      </w:r>
      <w:r>
        <w:t>d out within the MOPS algorithm</w:t>
      </w:r>
      <w:r w:rsidR="00532B2F">
        <w:fldChar w:fldCharType="begin" w:fldLock="1"/>
      </w:r>
      <w:r w:rsidR="00773999">
        <w:instrText>ADDIN CSL_CITATION {"citationItems":[{"id":"ITEM-1","itemData":{"DOI":"10.1023/A:1023663115138","author":[{"dropping-particle":"","family":"M.A. Grishina","given":"","non-dropping-particle":"","parse-names":false,"suffix":""},{"dropping-particle":"V","family":"Bartashevich","given":"E","non-dropping-particle":"","parse-names":false,"suffix":""},{"dropping-particle":"","family":"Potemkin","given":"V A","non-dropping-particle":"","parse-names":false,"suffix":""},{"dropping-particle":"V","family":"Belik","given":"A","non-dropping-particle":"","parse-names":false,"suffix":""}],"container-title":"Journal of Structural Chemistry","id":"ITEM-1","issue":"6","issued":{"date-parts":[["2002"]]},"page":"1040-1044","title":"GENETIC ALGORITHM FOR PREDICTING STRUCTURES AND PROPERTIES OF MOLECULAR AGGREGATES IN ORGANIC SUBSTANCES","type":"article-journal","volume":"43"},"uris":["http://www.mendeley.com/documents/?uuid=f5fd433e-c3ca-4cfa-9075-973dec1f3f3b"]}],"mendeley":{"formattedCitation":"&lt;sup&gt;32&lt;/sup&gt;","plainTextFormattedCitation":"32","previouslyFormattedCitation":"&lt;sup&gt;32&lt;/sup&gt;"},"properties":{"noteIndex":0},"schema":"https://github.com/citation-style-language/schema/raw/master/csl-citation.json"}</w:instrText>
      </w:r>
      <w:r w:rsidR="00532B2F">
        <w:fldChar w:fldCharType="separate"/>
      </w:r>
      <w:r w:rsidR="00532B2F" w:rsidRPr="00532B2F">
        <w:rPr>
          <w:noProof/>
          <w:vertAlign w:val="superscript"/>
        </w:rPr>
        <w:t>32</w:t>
      </w:r>
      <w:r w:rsidR="00532B2F">
        <w:fldChar w:fldCharType="end"/>
      </w:r>
      <w:r w:rsidRPr="00317E0D">
        <w:t xml:space="preserve"> in the combined force field MM3/MERA with a continual account the solvent influen</w:t>
      </w:r>
      <w:r>
        <w:t>ce according to the MERA model.</w:t>
      </w:r>
      <w:r w:rsidR="00532B2F">
        <w:fldChar w:fldCharType="begin" w:fldLock="1"/>
      </w:r>
      <w:r w:rsidR="00773999">
        <w:instrText>ADDIN CSL_CITATION {"citationItems":[{"id":"ITEM-1","itemData":{"DOI":"10.1023/A:1023611131068","ISSN":"00224766","abstract":"A method for multiconformational modeling of the three-dimensional shape of a molecule is proposed that includes search for conformers, their optimum superposition, and analysis of spatial features of the resulting structure. The method allows one to determine features of various molecular conformations of compounds under study, to assess the contributions of conformers to particular properties of the substance, to evaluate the space occupied by the molecule, and to compare the average size of the multiconformational model of the molecule with the sizes of the most stable conformations. The potentials of the model are illustrated by density calculations for 137 organic liquids. © 2002 Plenum Publishing Corporation.","author":[{"dropping-particle":"V.","family":"Bartashevich","given":"E.","non-dropping-particle":"","parse-names":false,"suffix":""},{"dropping-particle":"","family":"Potemkin","given":"V. A.","non-dropping-particle":"","parse-names":false,"suffix":""},{"dropping-particle":"","family":"Grishina","given":"M. A.","non-dropping-particle":"","parse-names":false,"suffix":""},{"dropping-particle":"V.","family":"Belik","given":"A.","non-dropping-particle":"","parse-names":false,"suffix":""}],"container-title":"Journal of Structural Chemistry","id":"ITEM-1","issue":"6","issued":{"date-parts":[["2002"]]},"page":"1033-1039","title":"A METHOD FOR MULTICONFORMATIONAL MODELING OF THE THREE-DIMENSIONAL SHAPE OF A MOLECULE","type":"article-journal","volume":"43"},"uris":["http://www.mendeley.com/documents/?uuid=09b4c319-cf99-45f4-a3d2-33d940a40a63"]}],"mendeley":{"formattedCitation":"&lt;sup&gt;33&lt;/sup&gt;","plainTextFormattedCitation":"33","previouslyFormattedCitation":"&lt;sup&gt;33&lt;/sup&gt;"},"properties":{"noteIndex":0},"schema":"https://github.com/citation-style-language/schema/raw/master/csl-citation.json"}</w:instrText>
      </w:r>
      <w:r w:rsidR="00532B2F">
        <w:fldChar w:fldCharType="separate"/>
      </w:r>
      <w:r w:rsidR="00532B2F" w:rsidRPr="00532B2F">
        <w:rPr>
          <w:noProof/>
          <w:vertAlign w:val="superscript"/>
        </w:rPr>
        <w:t>33</w:t>
      </w:r>
      <w:r w:rsidR="00532B2F">
        <w:fldChar w:fldCharType="end"/>
      </w:r>
      <w:r w:rsidRPr="00317E0D">
        <w:t xml:space="preserve"> </w:t>
      </w:r>
      <w:r w:rsidRPr="00773999">
        <w:t>The applicability of this approach for studying organic, inorganic and combined systems was previously shown elsewhere.</w:t>
      </w:r>
      <w:r w:rsidR="00D75556" w:rsidRPr="00773999">
        <w:fldChar w:fldCharType="begin" w:fldLock="1"/>
      </w:r>
      <w:r w:rsidR="00773999">
        <w:instrText>ADDIN CSL_CITATION {"citationItems":[{"id":"ITEM-1","itemData":{"DOI":"10.1016/S0927-7757(01)00757-9","ISSN":"09277757","abstract":"The authors attempted to find common reasons and regularities of inorganic and organic biosystems gelation and the prime modeled representations of biosystems in the lifeless nature. With the help of a hydrodynamic model for the movement of colloid-chemical motion of elements in hydroxide gels of rare earth metals (yttrium, gadolinium) the fluctuating character of excited gel's behavior in a liquid media is shown. Account for the dipole-dipole interaction of gel's fragments in intermicellar solution allowed to prove mathematically the spiral shaped formation of a gel, which was certified experimentally. With the help of different methods of computer experiment, including a molecular-dynamic modeling of polymeric hydroxide excited media, the two-dimensional spiral-shaped formation of overmolecular fragments of yttrium, gadolinium gels, characteristic of autowave processes, is found. There are given details of spiral formed vortexes. The effect of coloring the oxyhydrate gels of some high-density metals (the chromatic effect), in particular, the rare earth elements of yttrium, gadolinium, lanthanum, and others were experimentally discovered. The periodic, oscillating nature of the change in the intensity of the gels color yttrium and gadolinium oxyhydrate over time has been demonstrated. Theoretical and calculation methods were developed to explain the effect of coloring the oxyhydrate gels of high-density metals. © 2001 Elsevier Science B.V. All rights reserved.","author":[{"dropping-particle":"","family":"Sukharev","given":"Y. I.","non-dropping-particle":"","parse-names":false,"suffix":""},{"dropping-particle":"","family":"Potemkin","given":"V. A.","non-dropping-particle":"","parse-names":false,"suffix":""},{"dropping-particle":"","family":"Markov","given":"B. A.","non-dropping-particle":"","parse-names":false,"suffix":""}],"container-title":"Colloids and Surfaces A: Physicochemical and Engineering Aspects","id":"ITEM-1","issue":"1-3","issued":{"date-parts":[["2001"]]},"page":"75-84","title":"Autowave processes of forming gels as a cause of the coloring of oxyhydrate gels (the chromatic effect) of some rare earth metals (yttrium, gadolinium)","type":"article-journal","volume":"194"},"uris":["http://www.mendeley.com/documents/?uuid=b364d69f-71be-4ddb-b425-c54be25bf68d"]},{"id":"ITEM-2","itemData":{"DOI":"10.1023/b:jory.0000029809.88411.8b","author":[{"dropping-particle":"","family":"A. Potemkin, V. A. Maksakov","given":"and V. P. Kirin","non-dropping-particle":"V.","parse-names":false,"suffix":""}],"id":"ITEM-2","issue":"5","issued":{"date-parts":[["2003"]]},"page":"811-817","title":"CONFORMATIONAL STATES OF TRIOSMIUM CLUSTERS WITH AMINOACID LIGANDS: A THEORETICAL STUDY","type":"article-journal","volume":"44"},"uris":["http://www.mendeley.com/documents/?uuid=8e0351e3-a15b-4690-8baf-13e7812ebdb0"]},{"id":"ITEM-3","itemData":{"DOI":"10.1070/MC2004v014n02ABEH001887","ISSN":"09599436 1364551X","abstract":"The kinetic resolution of (±)-2,3-dihydro-3-methyl-4H-1,4- benzoxazine by the action of (S)-naproxen chloride was theoretically studied based on various computation methods.","author":[{"dropping-particle":"","family":"Potemkin","given":"V.A.","non-dropping-particle":"","parse-names":false,"suffix":""},{"dropping-particle":"","family":"Krasnov","given":"V.P.","non-dropping-particle":"","parse-names":false,"suffix":""},{"dropping-particle":"","family":"Levit","given":"G.L.","non-dropping-particle":"","parse-names":false,"suffix":""},{"dropping-particle":"","family":"Bartashevich","given":"E.V.","non-dropping-particle":"","parse-names":false,"suffix":""},{"dropping-particle":"","family":"Andreeva","given":"I.N.","non-dropping-particle":"","parse-names":false,"suffix":""},{"dropping-particle":"","family":"Kuzminsky","given":"M.B.","non-dropping-particle":"","parse-names":false,"suffix":""},{"dropping-particle":"","family":"Anikin","given":"N.A.","non-dropping-particle":"","parse-names":false,"suffix":""},{"dropping-particle":"","family":"Charushin","given":"V.N.","non-dropping-particle":"","parse-names":false,"suffix":""},{"dropping-particle":"","family":"Chupakhin","given":"O.N.","non-dropping-particle":"","parse-names":false,"suffix":""}],"container-title":"Mendeleev Communications","id":"ITEM-3","issue":"2","issued":{"date-parts":[["2004"]]},"page":"69-70","title":"Kinetic resolution of (±)-2,3-dihydro-3-methyl-4H-1,4-benzoxazine in the reaction with (S)-naproxen chloride: A theoretical study","type":"article-journal","volume":"14"},"uris":["http://www.mendeley.com/documents/?uuid=4a9787c0-9e0c-41d4-8a86-80d292ac9249"]},{"id":"ITEM-4","itemData":{"DOI":"10.1007/s10947-005-0006-9","author":[{"dropping-particle":"","family":"A. Potemkin, V. A. Maksakov","given":"V. P. Kirin","non-dropping-particle":"V.","parse-names":false,"suffix":""}],"container-title":"Journal of Structural Chemistry","id":"ITEM-4","issue":"3","issued":{"date-parts":[["2004"]]},"page":"405-409","title":"THEORETICAL STUDY OF THE CONFORMATIONS OF TRIOSMIUM CLUSTERS WITH A CHIRAL CARANE LIGAND","type":"article-journal","volume":"45"},"uris":["http://www.mendeley.com/documents/?uuid=85c0a080-74b4-4e54-abf6-f88199b77e71"]},{"id":"ITEM-5","itemData":{"DOI":"10.1007/s10947-006-0007-3","author":[{"dropping-particle":"","family":"A. Potemkin","given":"V. A. Maksakov V. S. Korenev","non-dropping-particle":"V.","parse-names":false,"suffix":""}],"id":"ITEM-5","issue":"1","issued":{"date-parts":[["2005"]]},"page":"43-48","title":"THEORETICAL STUDY OF THE CONFORMATIONAL STATES OF TRIOSMIUM CLUSTERS WITH A CHIRAL PINANE LIGAND","type":"article-journal","volume":"46"},"uris":["http://www.mendeley.com/documents/?uuid=e99d3f9d-e465-4db5-aa3f-48dc1ffcd528"]},{"id":"ITEM-6","itemData":{"DOI":"10.1007/s10947-006-0280-1","author":[{"dropping-particle":"","family":"Yu. I. Sukharev, V. V. Avdin, A. A. Lymar, M. Yu. Belkanova","given":"V. A. Potemkin","non-dropping-particle":"","parse-names":false,"suffix":""}],"container-title":"Journal of Structural Chemistry","id":"ITEM-6","issue":"1","issued":{"date-parts":[["2006"]]},"page":"151-155","title":"DIRECTIONS IN STRUCTURE FORMATION OF OXYHYDRATE GELS OF ZIRCONIUM AND RARE EARTH ELEMENTS","type":"article-journal","volume":"47"},"uris":["http://www.mendeley.com/documents/?uuid=7baebd29-a87b-40eb-8471-f84d30d69843"]},{"id":"ITEM-7","itemData":{"DOI":"10.1021/jp061698r","author":[{"dropping-particle":"","family":"Aladko","given":"E. Ya","non-dropping-particle":"","parse-names":false,"suffix":""},{"dropping-particle":"","family":"Ancharov","given":"A I","non-dropping-particle":"","parse-names":false,"suffix":""},{"dropping-particle":"V","family":"Goryainov","given":"S","non-dropping-particle":"","parse-names":false,"suffix":""},{"dropping-particle":"V","family":"Kurnosov","given":"A","non-dropping-particle":"","parse-names":false,"suffix":""},{"dropping-particle":"","family":"Larionov","given":"E G","non-dropping-particle":"","parse-names":false,"suffix":""},{"dropping-particle":"","family":"Likhacheva","given":"A Yu","non-dropping-particle":"","parse-names":false,"suffix":""},{"dropping-particle":"","family":"Manakov","given":"Andrey Yu","non-dropping-particle":"","parse-names":false,"suffix":""},{"dropping-particle":"","family":"Potemkin","given":"V A","non-dropping-particle":"","parse-names":false,"suffix":""},{"dropping-particle":"","family":"Sheromov","given":"M A","non-dropping-particle":"","parse-names":false,"suffix":""},{"dropping-particle":"","family":"Teplykh","given":"A E","non-dropping-particle":"","parse-names":false,"suffix":""},{"dropping-particle":"","family":"Voronin","given":"V I","non-dropping-particle":"","parse-names":false,"suffix":""},{"dropping-particle":"V","family":"Zhurko","given":"F","non-dropping-particle":"","parse-names":false,"suffix":""}],"container-title":"Journal of Physical Chemistry B","id":"ITEM-7","issue":"42","issued":{"date-parts":[["2006"]]},"page":"21371-21376","title":"New Type of Phase Transformation in Gas Hydrate Forming System at High Pressures. Some Experimental and Computational Investigations of Clathrate Hydrates Formed in the SF 6 -H 2 O System","type":"article-journal","volume":"110"},"uris":["http://www.mendeley.com/documents/?uuid=a29d88b0-373e-414a-959a-82875f5d6c94"]},{"id":"ITEM-8","itemData":{"DOI":"10.1007/s10947-006-0438-x","ISSN":"00224766","author":[{"dropping-particle":"","family":"M. A. Grishina, V. A. Potemkin, E. V. Bartashevich, A. N. Sinyaev, G. L. Rusinov, N. I. Latosh, I. N. Ganebnykh, O. V. Koryakova","given":"R. I. Ishmetova","non-dropping-particle":"","parse-names":false,"suffix":""}],"container-title":"Journal of Structural Chemistry","id":"ITEM-8","issue":"6","issued":{"date-parts":[["2006"]]},"page":"1155-1160","title":"Zhurnal Strukturnoi Khimii","type":"article-journal","volume":"47"},"uris":["http://www.mendeley.com/documents/?uuid=e676fb5a-0f4b-4d69-a0e2-e86d7f836d67"]},{"id":"ITEM-9","itemData":{"DOI":"10.1007/s10947-007-0036-6","author":[{"dropping-particle":"","family":"A. Potemkin, V. A. Maksakov","given":"V. S. Korenev","non-dropping-particle":"V.","parse-names":false,"suffix":""}],"id":"ITEM-9","issue":"2","issued":{"date-parts":[["2007"]]},"page":"225-230","title":"THEORETICAL STUDY OF THE CONFORMATIONAL STATES OF TRIOSMIUM CLUSTERS WITH A CHIRAL ?-1-NH PINANE LIGAND","type":"article-journal","volume":"48"},"uris":["http://www.mendeley.com/documents/?uuid=4e049cad-5b71-4f11-8215-36f6554fda5a"]},{"id":"ITEM-10","itemData":{"DOI":"10.1007/s10947-007-0114-9","author":[{"dropping-particle":"","family":"V. Avdin, A. A. Lymar, A. V. Batist, E. A. Nikitin, M. Yu. Belkanova","given":"V. A. Potemkin","non-dropping-particle":"V.","parse-names":false,"suffix":""}],"id":"ITEM-10","issue":"4","issued":{"date-parts":[["2007"]]},"page":"747-752","title":"STRUCTURE FORMATION IN HEAVY METAL OXYHYDRATES AT LOW RATES OF GEL FORMATION","type":"article-journal","volume":"48"},"uris":["http://www.mendeley.com/documents/?uuid=025438c5-c4c7-4ed5-88d8-0b673891e9bd"]},{"id":"ITEM-11","itemData":{"DOI":"10.1134/S1070328407080088","author":[{"dropping-particle":"","family":"Korenev","given":"V.S.","non-dropping-particle":"","parse-names":false,"suffix":""},{"dropping-particle":"","family":"Kirin","given":"V.P.","non-dropping-particle":"","parse-names":false,"suffix":""},{"dropping-particle":"","family":"Maksakov","given":"V.A.","non-dropping-particle":"","parse-names":false,"suffix":""},{"dropping-particle":"","family":"Virovets","given":"A.V.","non-dropping-particle":"","parse-names":false,"suffix":""},{"dropping-particle":"","family":"Tkachev","given":"S.V.","non-dropping-particle":"","parse-names":false,"suffix":""},{"dropping-particle":"","family":"Potemkin","given":"V.A.","non-dropping-particle":"","parse-names":false,"suffix":""},{"dropping-particle":"","family":"Agafontsev","given":"A.M.","non-dropping-particle":"","parse-names":false,"suffix":""},{"dropping-particle":"","family":"Tkachev","given":"A.V.","non-dropping-particle":"","parse-names":false,"suffix":""}],"container-title":"Russian Journal of Coordination Chemistry","id":"ITEM-11","issue":"8","issued":{"date-parts":[["2007"]]},"page":"594-600","title":"Triosmium cluster with the Triosmium Cluster with the Bridging Aminooxime Triosmium Cluster with the Bridging Aminooxime Derivative of Pinane: Synthesis, Crystal Structure and Conformational Analysis","type":"article-journal","volume":"33"},"uris":["http://www.mendeley.com/documents/?uuid=b338418f-fa33-4395-aa5d-44172f7caf6d"]},{"id":"ITEM-12","itemData":{"DOI":"10.1134/S107042800712007X","ISSN":"1070-4280","abstract":"New fluoroalkyl-containing\n2,2'-(biphenyl-4,4'-diyldihydrazono)bis(1,3-diketones) and\n2,2'-(biphenyl-4,4'-diyldihydrazono)bis(3-oxopropionates) were\nsynthesized by azo coupling of the corresponding 1,3-dicarbonyl\ncompounds with biphenyl-4,4'-bis(diazonium) dichloride. Complexing\nability of the obtained bis-hydrazones was studied, and new coordination\ncompounds of the general formula M2L2 {[}where M = Ni(II), Cu(II); L =\nfluoroalkyl-containing\n2,2'-(biphenyl-4,4'-diyldihydrazono)bis(1,3-diketone)] were obtained.","author":[{"dropping-particle":"V.","family":"Shchur","given":"I.","non-dropping-particle":"","parse-names":false,"suffix":""},{"dropping-particle":"","family":"Khudina","given":"O. G.","non-dropping-particle":"","parse-names":false,"suffix":""},{"dropping-particle":"V.","family":"Burgart","given":"Ya.","non-dropping-particle":"","parse-names":false,"suffix":""},{"dropping-particle":"","family":"Saloutin","given":"V. I.","non-dropping-particle":"","parse-names":false,"suffix":""},{"dropping-particle":"","family":"Grishina","given":"M. A.","non-dropping-particle":"","parse-names":false,"suffix":""},{"dropping-particle":"","family":"Potemkin","given":"V. A.","non-dropping-particle":"","parse-names":false,"suffix":""}],"container-title":"Russian Journal of Organic Chemistry","id":"ITEM-12","issue":"12","issued":{"date-parts":[["2007"]]},"page":"1781-1787","title":"Synthesis, structure, and complexing ability of fluoroalkyl-containing 2,2′-(biphenyl-4,4′-diyldihydrazono)bis(1,3-dicarbonyl) compounds","type":"article-journal","volume":"43"},"uris":["http://www.mendeley.com/documents/?uuid=ca1ee67a-a329-4e58-b3ba-2e9a0ae3d938"]},{"id":"ITEM-13","itemData":{"DOI":"10.1007/s10947-008-0002-y","ISSN":"00224766","abstract":"The interactions of acridanes with oxidants were modeled using combined methods of quantum chemistry (DFT B3LYP/6-311G(d,p)), molecular mechanics, MERA model, and MOPS algorithm. The results of simulation are compared with XRD data, oxidation potentials of acridanes, and the reduction potentials of the products of the oxidation reaction. It is shown that elimination of the hydride anion by the reactions of acridanes with oxidants is a consequence of a two-step process; the first step is the transfer of electron density from the HOMO of acridane to the LUMO of the oxidant; the second step is hydrogen elimination from the acridane molecule due to hydrogen bonding with the oxygen atom of the oxidant. The details of the mechanism were established by modeling the acridane-oxidant complexes using the MOPS algorithm including the continuum model of the solvent. The logarithms of the rate constants of the processes depend on the structure parameters of the model complexes with correlation coefficients of at least 0.93. © 2008 Springer Science+Business Media, Inc.","author":[{"dropping-particle":"","family":"Grishina","given":"M. A.","non-dropping-particle":"","parse-names":false,"suffix":""},{"dropping-particle":"","family":"Potemkin","given":"V. A.","non-dropping-particle":"","parse-names":false,"suffix":""},{"dropping-particle":"","family":"Matern","given":"A. I.","non-dropping-particle":"","parse-names":false,"suffix":""}],"container-title":"Journal of Structural Chemistry","id":"ITEM-13","issue":"1","issued":{"date-parts":[["2008"]]},"page":"7-12","title":"Theoretical study of acridane oxidation reactions","type":"article-journal","volume":"49"},"uris":["http://www.mendeley.com/documents/?uuid=35967499-cf88-49ec-bde9-6d2a0f400cc7"]},{"id":"ITEM-14","itemData":{"DOI":"10.1007/s10947-008-0154-9","author":[{"dropping-particle":"","family":"A. Maksakov, N. V. Pervukhina, N. V. Podberezskaya, M. Yu. Afonin, V. A. Potemkin","given":"V. P. Kirin","non-dropping-particle":"V.","parse-names":false,"suffix":""}],"id":"ITEM-14","issue":"5","issued":{"date-parts":[["2008"]]},"page":"894-900","title":"X-RAY AND CONFORMATION ANALYSIS OF THE NEW TRINUCLEAR CLUSTER OF OSMIUM ( P -H ) Os 3 ( P -O = CC 6 H 5 )( CO ) 10 complex with allylamine in chloroform was determined by X-ray analysis . Prolonged storage of the reaction mixture led to N – C bond cleavag","type":"article-journal","volume":"49"},"uris":["http://www.mendeley.com/documents/?uuid=66888d69-f801-4edc-8b56-5dad392475fd"]},{"id":"ITEM-15","itemData":{"DOI":"10.1093/protein/gzp043","ISBN":"1741-0134 (Electronic)\\r1741-0126 (Linking)","ISSN":"17410126","PMID":"19633313","abstract":"Multibillion-clone libraries of phages displaying guest peptides fused to the major coat protein pVIII (landscape libraries) are a rich source of probes for proteinaceous and non-proteinaceous targets. As opposed to the pIII-type fusion phages, which display peptides as independent structural domains, the guest peptides in the pVIII-fusion phages can be structurally and functionally influenced by contiguous subunits. To decipher the impact of the locale of a guest peptide on its affinity characteristics, we constructed a library of phages carrying beta-galactosidase-binding peptide ADTFAKSMQ at the N-terminus of the pVIII protein surrounded by random amino acids. It was found that mutagenesis of amino acids 12-19 (domain C) has polar effects on target binding affinity of the displayed peptide. The phages with highest affinity are characterized by: (i) a net electrostatic charge around -1 of domain C of the mutated phages at pH 7.0; (ii) a lower radius of cylinder coaxial to alpha-helix formed by domain C; (iii) a lower higher occupied molecular orbital (HOMO) of domain C leading to a decreased formation of hydrogen bonds and (iv) positively charged surface and torsion energy of domain C, which may require a conformational transition of N-terminal peptide ADTFAKSMQ for its binding with beta-galactosidase. Influence of the guest peptide on the diversity of mutations in the neighboring landscape area was also observed.","author":[{"dropping-particle":"","family":"Kuzmicheva","given":"G. A.","non-dropping-particle":"","parse-names":false,"suffix":""},{"dropping-particle":"","family":"Jayanna","given":"P. K.","non-dropping-particle":"","parse-names":false,"suffix":""},{"dropping-particle":"","family":"Eroshkin","given":"A. M.","non-dropping-particle":"","parse-names":false,"suffix":""},{"dropping-particle":"","family":"Grishina","given":"M. A.","non-dropping-particle":"","parse-names":false,"suffix":""},{"dropping-particle":"","family":"Pereyaslavskaya","given":"E. S.","non-dropping-particle":"","parse-names":false,"suffix":""},{"dropping-particle":"","family":"Potemkin","given":"V. A.","non-dropping-particle":"","parse-names":false,"suffix":""},{"dropping-particle":"","family":"Petrenko","given":"V. A.","non-dropping-particle":"","parse-names":false,"suffix":""}],"container-title":"Protein Engineering, Design and Selection","id":"ITEM-15","issue":"10","issued":{"date-parts":[["2009"]]},"page":"631-639","title":"Mutations in fd phage major coat protein modulate affinity of the displayed peptide","type":"article-journal","volume":"22"},"uris":["http://www.mendeley.com/documents/?uuid=215cd793-6ab3-489f-9e20-9474add426a0"]},{"id":"ITEM-16","itemData":{"DOI":"10.1007/s10947-009-0202-0","author":[{"dropping-particle":"","family":"A. Potemkin, N. N. Ivshina","given":"V. A. Maksakov","non-dropping-particle":"V.","parse-names":false,"suffix":""}],"container-title":"Journal of Structural Chemistry","id":"ITEM-16","issue":"5","issued":{"date-parts":[["2009"]]},"page":"143-151","title":"THEORETICAL STUDY OF THE CONFORMATIONAL FEATURES OF TRIOSMIUM CLUSTERS","type":"article-journal","volume":"50"},"uris":["http://www.mendeley.com/documents/?uuid=ed7cc7a8-8241-4c7f-aa6b-339f85c54038"]},{"id":"ITEM-17","itemData":{"DOI":"10.1007/s10947-009-0155-3","author":[{"dropping-particle":"","family":"N. N. Ivshina, E. V. Bartashevich, V. A. Potemkin, M. A. Grishina, R. I. Ishmetova, G. L. Rusinov, N. I. Latosh, P. Slepukhin","given":"V. N. Charushin","non-dropping-particle":"","parse-names":false,"suffix":""}],"container-title":"Journal of Structural Chemistry","id":"ITEM-17","issue":"6","issued":{"date-parts":[["2010"]]},"page":"1053-1058","title":"CHANGES IN THE VIBRATIONAL CHARACTERISTICS OF SUBSTITUTED 1,2,4,5-TETRAZINES AFTER COMPLEXATION WITH 1,2,3-BENZOTRIAZOLE: A THEORETICAL STUDY","type":"article-journal","volume":"50"},"uris":["http://www.mendeley.com/documents/?uuid=3b722e4e-342a-4491-a04c-469a3716b197"]},{"id":"ITEM-18","itemData":{"DOI":"10.1002/cphc.201100126","ISSN":"14394235","PMID":"21717564","abstract":"Experimental data on the pressure dependence of unit cell parameters for the gas hydrates of ethane (cubic structure I, pressure range 0-2 GPa), xenon (cubic structure I, pressure range 0-1.5 GPa) and the double hydrate of tetrahydrofuran+xenon (cubic structure II, pressure range 0-3 GPa) are presented. Approximation of the data using the cubic Birch-Murnaghan equation, P=1.5B(0)[(V(0)/V)(7/3)-(V(0)/V)(5/3)], gave the following results: for ethane hydrate V(0)=1781 Å(3) , B(0)=11.2 GPa; for xenon hydrate V(0)=1726 Å(3) , B(0)=9.3 GPa; for the double hydrate of tetrahydrofuran+xenon V(0)=5323 Å(3) , B(0)=8.8 GPa. In the last case, the approximation was performed within the pressure range 0-1.5 GPa; it is impossible to describe the results within a broader pressure range using the cubic Birch-Murnaghan equation. At the maximum pressure of the existence of the double hydrate of tetrahydrofuran+xenon (3.1 GPa), the unit cell volume was 86% of the unit cell volume at zero pressure. Analysis of the experimental data obtained by us and data available from the literature showed that 1) the bulk modulus of gas hydrates with classical polyhedral structures, in most cases, are close to each other and 2) the bulk modulus is mainly determined by the elasticity of the hydrogen-bonded water framework. Variable filling of the cavities with guest molecules also has a substantial effect on the bulk modulus. On the basis of the obtained results, we concluded that the bulk modulus of gas hydrates with classical polyhedral structures and existing at pressures up to 1.5 GPa was equal to (9±2) GPa. In cases when data on the equations of state for the hydrates were unavailable, the indicated values may be recommended as the most probable ones.","author":[{"dropping-particle":"","family":"Manakov","given":"Andrey Yu","non-dropping-particle":"","parse-names":false,"suffix":""},{"dropping-particle":"","family":"Likhacheva","given":"Anna Yu","non-dropping-particle":"","parse-names":false,"suffix":""},{"dropping-particle":"","family":"Potemkin","given":"Vladimir A.","non-dropping-particle":"","parse-names":false,"suffix":""},{"dropping-particle":"","family":"Ogienko","given":"Andrey G.","non-dropping-particle":"","parse-names":false,"suffix":""},{"dropping-particle":"V.","family":"Kurnosov","given":"Alexander","non-dropping-particle":"","parse-names":false,"suffix":""},{"dropping-particle":"","family":"Ancharov","given":"Aleksei I.","non-dropping-particle":"","parse-names":false,"suffix":""}],"container-title":"ChemPhysChem","id":"ITEM-18","issue":"13","issued":{"date-parts":[["2011"]]},"page":"2476-2484","title":"Compressibility of gas hydrates","type":"article-journal","volume":"12"},"uris":["http://www.mendeley.com/documents/?uuid=457e6e05-4d22-4d4f-a261-eac2a16ce9a7"]}],"mendeley":{"formattedCitation":"&lt;sup&gt;52,53,62–69,54–61&lt;/sup&gt;","plainTextFormattedCitation":"52,53,62–69,54–61","previouslyFormattedCitation":"&lt;sup&gt;52,53,62–69,54–61&lt;/sup&gt;"},"properties":{"noteIndex":0},"schema":"https://github.com/citation-style-language/schema/raw/master/csl-citation.json"}</w:instrText>
      </w:r>
      <w:r w:rsidR="00D75556" w:rsidRPr="00773999">
        <w:fldChar w:fldCharType="separate"/>
      </w:r>
      <w:r w:rsidR="00773999" w:rsidRPr="00773999">
        <w:rPr>
          <w:noProof/>
          <w:vertAlign w:val="superscript"/>
        </w:rPr>
        <w:t>52,53,62–69,54–61</w:t>
      </w:r>
      <w:r w:rsidR="00D75556" w:rsidRPr="00773999">
        <w:fldChar w:fldCharType="end"/>
      </w:r>
      <w:r w:rsidR="00A868D9" w:rsidRPr="00773999">
        <w:t xml:space="preserve"> The MOPS algorithm was used for the modeli</w:t>
      </w:r>
      <w:r w:rsidR="00F60C76" w:rsidRPr="00773999">
        <w:t xml:space="preserve">ng of </w:t>
      </w:r>
      <w:r w:rsidR="00F60C76" w:rsidRPr="00400A92">
        <w:rPr>
          <w:noProof/>
        </w:rPr>
        <w:t>oxyhydrate</w:t>
      </w:r>
      <w:r w:rsidR="00F60C76" w:rsidRPr="00773999">
        <w:t xml:space="preserve"> gels formation</w:t>
      </w:r>
      <w:r w:rsidR="00A868D9" w:rsidRPr="00773999">
        <w:t>,</w:t>
      </w:r>
      <w:r w:rsidR="00514598" w:rsidRPr="00773999">
        <w:fldChar w:fldCharType="begin" w:fldLock="1"/>
      </w:r>
      <w:r w:rsidR="00773999">
        <w:instrText>ADDIN CSL_CITATION {"citationItems":[{"id":"ITEM-1","itemData":{"DOI":"10.1007/s10822-011-9440-2","ISBN":"1573-4951 (Electronic)\\n0920-654X (Linking)","ISSN":"0920654X","PMID":"21660515","abstract":"The Online Chemical Modeling Environment is a web-based platform that aims to automate and simplify the typical steps required for QSAR modeling. The platform consists of two major subsystems: the database of experimental measurements and the modeling framework. A user-contributed database contains a set of tools for easy input, search and modification of thousands of records. The OCHEM database is based on the wiki principle and focuses primarily on the quality and verifiability of the data. The database is tightly integrated with the modeling framework, which supports all the steps required to create a predictive model: data search, calculation and selection of a vast variety of molecular descriptors, application of machine learning methods, validation, analysis of the model and assessment of the applicability domain. As compared to other similar systems, OCHEM is not intended to re-implement the existing tools or models but rather to invite the original authors to contribute their results, make them publicly available, share them with other users and to become members of the growing research community. Our intention is to make OCHEM a widely used platform to perform the QSPR/QSAR studies online and share it with other users on the Web. The ultimate goal of OCHEM is collecting all possible chemoinformatics tools within one simple, reliable and user-friendly resource. The OCHEM is free for web users and it is available online at http://www.ochem.eu.","author":[{"dropping-particle":"","family":"Sushko","given":"Iurii","non-dropping-particle":"","parse-names":false,"suffix":""},{"dropping-particle":"","family":"Novotarskyi","given":"Sergii","non-dropping-particle":"","parse-names":false,"suffix":""},{"dropping-particle":"","family":"Körner","given":"Robert","non-dropping-particle":"","parse-names":false,"suffix":""},{"dropping-particle":"","family":"Pandey","given":"Anil Kumar","non-dropping-particle":"","parse-names":false,"suffix":""},{"dropping-particle":"","family":"Rupp","given":"Matthias","non-dropping-particle":"","parse-names":false,"suffix":""},{"dropping-particle":"","family":"Teetz","given":"Wolfram","non-dropping-particle":"","parse-names":false,"suffix":""},{"dropping-particle":"","family":"Brandmaier","given":"Stefan","non-dropping-particle":"","parse-names":false,"suffix":""},{"dropping-particle":"","family":"Abdelaziz","given":"Ahmed","non-dropping-particle":"","parse-names":false,"suffix":""},{"dropping-particle":"V.","family":"Prokopenko","given":"Volodymyr","non-dropping-particle":"","parse-names":false,"suffix":""},{"dropping-particle":"","family":"Tanchuk","given":"Vsevolod Y.","non-dropping-particle":"","parse-names":false,"suffix":""},{"dropping-particle":"","family":"Todeschini","given":"Roberto","non-dropping-particle":"","parse-names":false,"suffix":""},{"dropping-particle":"","family":"Varnek","given":"Alexandre","non-dropping-particle":"","parse-names":false,"suffix":""},{"dropping-particle":"","family":"Marcou","given":"Gilles","non-dropping-particle":"","parse-names":false,"suffix":""},{"dropping-particle":"","family":"Ertl","given":"Peter","non-dropping-particle":"","parse-names":false,"suffix":""},{"dropping-particle":"","family":"Potemkin","given":"Vladimir","non-dropping-particle":"","parse-names":false,"suffix":""},{"dropping-particle":"","family":"Grishina","given":"Maria","non-dropping-particle":"","parse-names":false,"suffix":""},{"dropping-particle":"","family":"Gasteiger","given":"Johann","non-dropping-particle":"","parse-names":false,"suffix":""},{"dropping-particle":"","family":"Schwab","given":"Christof","non-dropping-particle":"","parse-names":false,"suffix":""},{"dropping-particle":"","family":"Baskin","given":"Igor I.","non-dropping-particle":"","parse-names":false,"suffix":""},{"dropping-particle":"","family":"Palyulin","given":"Vladimir A.","non-dropping-particle":"","parse-names":false,"suffix":""},{"dropping-particle":"V.","family":"Radchenko","given":"Eugene","non-dropping-particle":"","parse-names":false,"suffix":""},{"dropping-particle":"","family":"Welsh","given":"William J.","non-dropping-particle":"","parse-names":false,"suffix":""},{"dropping-particle":"","family":"Kholodovych","given":"Vladyslav","non-dropping-particle":"","parse-names":false,"suffix":""},{"dropping-particle":"","family":"Chekmarev","given":"Dmitriy","non-dropping-particle":"","parse-names":false,"suffix":""},{"dropping-particle":"","family":"Cherkasov","given":"Artem","non-dropping-particle":"","parse-names":false,"suffix":""},{"dropping-particle":"","family":"Aires-De-Sousa","given":"Joao","non-dropping-particle":"","parse-names":false,"suffix":""},{"dropping-particle":"","family":"Zhang","given":"Qing You","non-dropping-particle":"","parse-names":false,"suffix":""},{"dropping-particle":"","family":"Bender","given":"Andreas","non-dropping-particle":"","parse-names":false,"suffix":""},{"dropping-particle":"","family":"Nigsch","given":"Florian","non-dropping-particle":"","parse-names":false,"suffix":""},{"dropping-particle":"","family":"Patiny","given":"Luc","non-dropping-particle":"","parse-names":false,"suffix":""},{"dropping-particle":"","family":"Williams","given":"Antony","non-dropping-particle":"","parse-names":false,"suffix":""},{"dropping-particle":"","family":"Tkachenko","given":"Valery","non-dropping-particle":"","parse-names":false,"suffix":""},{"dropping-particle":"V.","family":"Tetko","given":"Igor","non-dropping-particle":"","parse-names":false,"suffix":""}],"container-title":"Journal of Computer-Aided Molecular Design","id":"ITEM-1","issue":"6","issued":{"date-parts":[["2011"]]},"page":"533-554","title":"Online chemical modeling environment (OCHEM): Web platform for data storage, model development and publishing of chemical information","type":"article-journal","volume":"25"},"uris":["http://www.mendeley.com/documents/?uuid=b5f42c4f-7a70-4ec4-ab79-4702d0cbf623"]},{"id":"ITEM-2","itemData":{"DOI":"10.1007/s10947-006-0280-1","author":[{"dropping-particle":"","family":"Yu. I. Sukharev, V. V. Avdin, A. A. Lymar, M. Yu. Belkanova","given":"V. A. Potemkin","non-dropping-particle":"","parse-names":false,"suffix":""}],"container-title":"Journal of Structural Chemistry","id":"ITEM-2","issue":"1","issued":{"date-parts":[["2006"]]},"page":"151-155","title":"DIRECTIONS IN STRUCTURE FORMATION OF OXYHYDRATE GELS OF ZIRCONIUM AND RARE EARTH ELEMENTS","type":"article-journal","volume":"47"},"uris":["http://www.mendeley.com/documents/?uuid=7baebd29-a87b-40eb-8471-f84d30d69843"]},{"id":"ITEM-3","itemData":{"DOI":"10.1007/s10947-007-0114-9","author":[{"dropping-particle":"","family":"V. Avdin, A. A. Lymar, A. V. Batist, E. A. Nikitin, M. Yu. Belkanova","given":"V. A. Potemkin","non-dropping-particle":"V.","parse-names":false,"suffix":""}],"id":"ITEM-3","issue":"4","issued":{"date-parts":[["2007"]]},"page":"747-752","title":"STRUCTURE FORMATION IN HEAVY METAL OXYHYDRATES AT LOW RATES OF GEL FORMATION","type":"article-journal","volume":"48"},"uris":["http://www.mendeley.com/documents/?uuid=025438c5-c4c7-4ed5-88d8-0b673891e9bd"]}],"mendeley":{"formattedCitation":"&lt;sup&gt;51,57,61&lt;/sup&gt;","plainTextFormattedCitation":"51,57,61","previouslyFormattedCitation":"&lt;sup&gt;51,57,61&lt;/sup&gt;"},"properties":{"noteIndex":0},"schema":"https://github.com/citation-style-language/schema/raw/master/csl-citation.json"}</w:instrText>
      </w:r>
      <w:r w:rsidR="00514598" w:rsidRPr="00773999">
        <w:fldChar w:fldCharType="separate"/>
      </w:r>
      <w:r w:rsidR="00773999" w:rsidRPr="00773999">
        <w:rPr>
          <w:noProof/>
          <w:vertAlign w:val="superscript"/>
        </w:rPr>
        <w:t>51,57,61</w:t>
      </w:r>
      <w:r w:rsidR="00514598" w:rsidRPr="00773999">
        <w:fldChar w:fldCharType="end"/>
      </w:r>
      <w:r w:rsidR="00A868D9" w:rsidRPr="00773999">
        <w:t xml:space="preserve"> for the modeling of crystal structures of </w:t>
      </w:r>
      <w:r w:rsidR="00A868D9" w:rsidRPr="00400A92">
        <w:rPr>
          <w:noProof/>
        </w:rPr>
        <w:t>triosmium</w:t>
      </w:r>
      <w:r w:rsidR="00A868D9" w:rsidRPr="00773999">
        <w:t xml:space="preserve"> clusters,</w:t>
      </w:r>
      <w:r w:rsidR="00477BFB" w:rsidRPr="00773999">
        <w:fldChar w:fldCharType="begin" w:fldLock="1"/>
      </w:r>
      <w:r w:rsidR="00773999">
        <w:instrText>ADDIN CSL_CITATION {"citationItems":[{"id":"ITEM-1","itemData":{"DOI":"10.1023/b:jory.0000029809.88411.8b","author":[{"dropping-particle":"","family":"A. Potemkin, V. A. Maksakov","given":"and V. P. Kirin","non-dropping-particle":"V.","parse-names":false,"suffix":""}],"id":"ITEM-1","issue":"5","issued":{"date-parts":[["2003"]]},"page":"811-817","title":"CONFORMATIONAL STATES OF TRIOSMIUM CLUSTERS WITH AMINOACID LIGANDS: A THEORETICAL STUDY","type":"article-journal","volume":"44"},"uris":["http://www.mendeley.com/documents/?uuid=8e0351e3-a15b-4690-8baf-13e7812ebdb0"]},{"id":"ITEM-2","itemData":{"DOI":"10.1007/s10947-005-0006-9","author":[{"dropping-particle":"","family":"A. Potemkin, V. A. Maksakov","given":"V. P. Kirin","non-dropping-particle":"V.","parse-names":false,"suffix":""}],"container-title":"Journal of Structural Chemistry","id":"ITEM-2","issue":"3","issued":{"date-parts":[["2004"]]},"page":"405-409","title":"THEORETICAL STUDY OF THE CONFORMATIONS OF TRIOSMIUM CLUSTERS WITH A CHIRAL CARANE LIGAND","type":"article-journal","volume":"45"},"uris":["http://www.mendeley.com/documents/?uuid=85c0a080-74b4-4e54-abf6-f88199b77e71"]},{"id":"ITEM-3","itemData":{"DOI":"10.1007/s10947-006-0007-3","author":[{"dropping-particle":"","family":"A. Potemkin","given":"V. A. Maksakov V. S. Korenev","non-dropping-particle":"V.","parse-names":false,"suffix":""}],"id":"ITEM-3","issue":"1","issued":{"date-parts":[["2005"]]},"page":"43-48","title":"THEORETICAL STUDY OF THE CONFORMATIONAL STATES OF TRIOSMIUM CLUSTERS WITH A CHIRAL PINANE LIGAND","type":"article-journal","volume":"46"},"uris":["http://www.mendeley.com/documents/?uuid=e99d3f9d-e465-4db5-aa3f-48dc1ffcd528"]},{"id":"ITEM-4","itemData":{"DOI":"10.1007/s10947-007-0036-6","author":[{"dropping-particle":"","family":"A. Potemkin, V. A. Maksakov","given":"V. S. Korenev","non-dropping-particle":"V.","parse-names":false,"suffix":""}],"id":"ITEM-4","issue":"2","issued":{"date-parts":[["2007"]]},"page":"225-230","title":"THEORETICAL STUDY OF THE CONFORMATIONAL STATES OF TRIOSMIUM CLUSTERS WITH A CHIRAL ?-1-NH PINANE LIGAND","type":"article-journal","volume":"48"},"uris":["http://www.mendeley.com/documents/?uuid=4e049cad-5b71-4f11-8215-36f6554fda5a"]},{"id":"ITEM-5","itemData":{"DOI":"10.1134/S1070328407080088","author":[{"dropping-particle":"","family":"Korenev","given":"V.S.","non-dropping-particle":"","parse-names":false,"suffix":""},{"dropping-particle":"","family":"Kirin","given":"V.P.","non-dropping-particle":"","parse-names":false,"suffix":""},{"dropping-particle":"","family":"Maksakov","given":"V.A.","non-dropping-particle":"","parse-names":false,"suffix":""},{"dropping-particle":"","family":"Virovets","given":"A.V.","non-dropping-particle":"","parse-names":false,"suffix":""},{"dropping-particle":"","family":"Tkachev","given":"S.V.","non-dropping-particle":"","parse-names":false,"suffix":""},{"dropping-particle":"","family":"Potemkin","given":"V.A.","non-dropping-particle":"","parse-names":false,"suffix":""},{"dropping-particle":"","family":"Agafontsev","given":"A.M.","non-dropping-particle":"","parse-names":false,"suffix":""},{"dropping-particle":"","family":"Tkachev","given":"A.V.","non-dropping-particle":"","parse-names":false,"suffix":""}],"container-title":"Russian Journal of Coordination Chemistry","id":"ITEM-5","issue":"8","issued":{"date-parts":[["2007"]]},"page":"594-600","title":"Triosmium cluster with the Triosmium Cluster with the Bridging Aminooxime Triosmium Cluster with the Bridging Aminooxime Derivative of Pinane: Synthesis, Crystal Structure and Conformational Analysis","type":"article-journal","volume":"33"},"uris":["http://www.mendeley.com/documents/?uuid=b338418f-fa33-4395-aa5d-44172f7caf6d"]},{"id":"ITEM-6","itemData":{"DOI":"10.1007/s10947-008-0154-9","author":[{"dropping-particle":"","family":"A. Maksakov, N. V. Pervukhina, N. V. Podberezskaya, M. Yu. Afonin, V. A. Potemkin","given":"V. P. Kirin","non-dropping-particle":"V.","parse-names":false,"suffix":""}],"id":"ITEM-6","issue":"5","issued":{"date-parts":[["2008"]]},"page":"894-900","title":"X-RAY AND CONFORMATION ANALYSIS OF THE NEW TRINUCLEAR CLUSTER OF OSMIUM ( P -H ) Os 3 ( P -O = CC 6 H 5 )( CO ) 10 complex with allylamine in chloroform was determined by X-ray analysis . Prolonged storage of the reaction mixture led to N – C bond cleavag","type":"article-journal","volume":"49"},"uris":["http://www.mendeley.com/documents/?uuid=66888d69-f801-4edc-8b56-5dad392475fd"]},{"id":"ITEM-7","itemData":{"DOI":"10.1007/s10947-009-0202-0","author":[{"dropping-particle":"","family":"A. Potemkin, N. N. Ivshina","given":"V. A. Maksakov","non-dropping-particle":"V.","parse-names":false,"suffix":""}],"container-title":"Journal of Structural Chemistry","id":"ITEM-7","issue":"5","issued":{"date-parts":[["2009"]]},"page":"143-151","title":"THEORETICAL STUDY OF THE CONFORMATIONAL FEATURES OF TRIOSMIUM CLUSTERS","type":"article-journal","volume":"50"},"uris":["http://www.mendeley.com/documents/?uuid=ed7cc7a8-8241-4c7f-aa6b-339f85c54038"]}],"mendeley":{"formattedCitation":"&lt;sup&gt;53,55,56,60,62,65,67&lt;/sup&gt;","plainTextFormattedCitation":"53,55,56,60,62,65,67","previouslyFormattedCitation":"&lt;sup&gt;53,55,56,60,62,65,67&lt;/sup&gt;"},"properties":{"noteIndex":0},"schema":"https://github.com/citation-style-language/schema/raw/master/csl-citation.json"}</w:instrText>
      </w:r>
      <w:r w:rsidR="00477BFB" w:rsidRPr="00773999">
        <w:fldChar w:fldCharType="separate"/>
      </w:r>
      <w:r w:rsidR="00773999" w:rsidRPr="00773999">
        <w:rPr>
          <w:noProof/>
          <w:vertAlign w:val="superscript"/>
        </w:rPr>
        <w:t>53,55,56,60,62,65,67</w:t>
      </w:r>
      <w:r w:rsidR="00477BFB" w:rsidRPr="00773999">
        <w:fldChar w:fldCharType="end"/>
      </w:r>
      <w:r w:rsidR="00A868D9" w:rsidRPr="00773999">
        <w:t xml:space="preserve"> for the study of organic molecules complex</w:t>
      </w:r>
      <w:r w:rsidR="00F60C76" w:rsidRPr="00773999">
        <w:t>ation during chemical reactions</w:t>
      </w:r>
      <w:r w:rsidR="00A868D9" w:rsidRPr="00773999">
        <w:t>,</w:t>
      </w:r>
      <w:r w:rsidR="009705C8" w:rsidRPr="00773999">
        <w:fldChar w:fldCharType="begin" w:fldLock="1"/>
      </w:r>
      <w:r w:rsidR="00773999">
        <w:instrText>ADDIN CSL_CITATION {"citationItems":[{"id":"ITEM-1","itemData":{"DOI":"10.1023/A:1023663115138","author":[{"dropping-particle":"","family":"M.A. Grishina","given":"","non-dropping-particle":"","parse-names":false,"suffix":""},{"dropping-particle":"V","family":"Bartashevich","given":"E","non-dropping-particle":"","parse-names":false,"suffix":""},{"dropping-particle":"","family":"Potemkin","given":"V A","non-dropping-particle":"","parse-names":false,"suffix":""},{"dropping-particle":"V","family":"Belik","given":"A","non-dropping-particle":"","parse-names":false,"suffix":""}],"container-title":"Journal of Structural Chemistry","id":"ITEM-1","issue":"6","issued":{"date-parts":[["2002"]]},"page":"1040-1044","title":"GENETIC ALGORITHM FOR PREDICTING STRUCTURES AND PROPERTIES OF MOLECULAR AGGREGATES IN ORGANIC SUBSTANCES","type":"article-journal","volume":"43"},"uris":["http://www.mendeley.com/documents/?uuid=f5fd433e-c3ca-4cfa-9075-973dec1f3f3b"]},{"id":"ITEM-2","itemData":{"DOI":"10.1023/A:1023611131068","ISSN":"00224766","abstract":"A method for multiconformational modeling of the three-dimensional shape of a molecule is proposed that includes search for conformers, their optimum superposition, and analysis of spatial features of the resulting structure. The method allows one to determine features of various molecular conformations of compounds under study, to assess the contributions of conformers to particular properties of the substance, to evaluate the space occupied by the molecule, and to compare the average size of the multiconformational model of the molecule with the sizes of the most stable conformations. The potentials of the model are illustrated by density calculations for 137 organic liquids. © 2002 Plenum Publishing Corporation.","author":[{"dropping-particle":"V.","family":"Bartashevich","given":"E.","non-dropping-particle":"","parse-names":false,"suffix":""},{"dropping-particle":"","family":"Potemkin","given":"V. A.","non-dropping-particle":"","parse-names":false,"suffix":""},{"dropping-particle":"","family":"Grishina","given":"M. A.","non-dropping-particle":"","parse-names":false,"suffix":""},{"dropping-particle":"V.","family":"Belik","given":"A.","non-dropping-particle":"","parse-names":false,"suffix":""}],"container-title":"Journal of Structural Chemistry","id":"ITEM-2","issue":"6","issued":{"date-parts":[["2002"]]},"page":"1033-1039","title":"A METHOD FOR MULTICONFORMATIONAL MODELING OF THE THREE-DIMENSIONAL SHAPE OF A MOLECULE","type":"article-journal","volume":"43"},"uris":["http://www.mendeley.com/documents/?uuid=09b4c319-cf99-45f4-a3d2-33d940a40a63"]},{"id":"ITEM-3","itemData":{"DOI":"10.1070/MC2004v014n02ABEH001887","ISSN":"09599436 1364551X","abstract":"The kinetic resolution of (±)-2,3-dihydro-3-methyl-4H-1,4- benzoxazine by the action of (S)-naproxen chloride was theoretically studied based on various computation methods.","author":[{"dropping-particle":"","family":"Potemkin","given":"V.A.","non-dropping-particle":"","parse-names":false,"suffix":""},{"dropping-particle":"","family":"Krasnov","given":"V.P.","non-dropping-particle":"","parse-names":false,"suffix":""},{"dropping-particle":"","family":"Levit","given":"G.L.","non-dropping-particle":"","parse-names":false,"suffix":""},{"dropping-particle":"","family":"Bartashevich","given":"E.V.","non-dropping-particle":"","parse-names":false,"suffix":""},{"dropping-particle":"","family":"Andreeva","given":"I.N.","non-dropping-particle":"","parse-names":false,"suffix":""},{"dropping-particle":"","family":"Kuzminsky","given":"M.B.","non-dropping-particle":"","parse-names":false,"suffix":""},{"dropping-particle":"","family":"Anikin","given":"N.A.","non-dropping-particle":"","parse-names":false,"suffix":""},{"dropping-particle":"","family":"Charushin","given":"V.N.","non-dropping-particle":"","parse-names":false,"suffix":""},{"dropping-particle":"","family":"Chupakhin","given":"O.N.","non-dropping-particle":"","parse-names":false,"suffix":""}],"container-title":"Mendeleev Communications","id":"ITEM-3","issue":"2","issued":{"date-parts":[["2004"]]},"page":"69-70","title":"Kinetic resolution of (±)-2,3-dihydro-3-methyl-4H-1,4-benzoxazine in the reaction with (S)-naproxen chloride: A theoretical study","type":"article-journal","volume":"14"},"uris":["http://www.mendeley.com/documents/?uuid=4a9787c0-9e0c-41d4-8a86-80d292ac9249"]},{"id":"ITEM-4","itemData":{"DOI":"10.1007/s10947-006-0438-x","ISSN":"00224766","author":[{"dropping-particle":"","family":"M. A. Grishina, V. A. Potemkin, E. V. Bartashevich, A. N. Sinyaev, G. L. Rusinov, N. I. Latosh, I. N. Ganebnykh, O. V. Koryakova","given":"R. I. Ishmetova","non-dropping-particle":"","parse-names":false,"suffix":""}],"container-title":"Journal of Structural Chemistry","id":"ITEM-4","issue":"6","issued":{"date-parts":[["2006"]]},"page":"1155-1160","title":"Zhurnal Strukturnoi Khimii","type":"article-journal","volume":"47"},"uris":["http://www.mendeley.com/documents/?uuid=e676fb5a-0f4b-4d69-a0e2-e86d7f836d67"]},{"id":"ITEM-5","itemData":{"DOI":"10.1134/S107042800712007X","ISSN":"1070-4280","abstract":"New fluoroalkyl-containing\n2,2'-(biphenyl-4,4'-diyldihydrazono)bis(1,3-diketones) and\n2,2'-(biphenyl-4,4'-diyldihydrazono)bis(3-oxopropionates) were\nsynthesized by azo coupling of the corresponding 1,3-dicarbonyl\ncompounds with biphenyl-4,4'-bis(diazonium) dichloride. Complexing\nability of the obtained bis-hydrazones was studied, and new coordination\ncompounds of the general formula M2L2 {[}where M = Ni(II), Cu(II); L =\nfluoroalkyl-containing\n2,2'-(biphenyl-4,4'-diyldihydrazono)bis(1,3-diketone)] were obtained.","author":[{"dropping-particle":"V.","family":"Shchur","given":"I.","non-dropping-particle":"","parse-names":false,"suffix":""},{"dropping-particle":"","family":"Khudina","given":"O. G.","non-dropping-particle":"","parse-names":false,"suffix":""},{"dropping-particle":"V.","family":"Burgart","given":"Ya.","non-dropping-particle":"","parse-names":false,"suffix":""},{"dropping-particle":"","family":"Saloutin","given":"V. I.","non-dropping-particle":"","parse-names":false,"suffix":""},{"dropping-particle":"","family":"Grishina","given":"M. A.","non-dropping-particle":"","parse-names":false,"suffix":""},{"dropping-particle":"","family":"Potemkin","given":"V. A.","non-dropping-particle":"","parse-names":false,"suffix":""}],"container-title":"Russian Journal of Organic Chemistry","id":"ITEM-5","issue":"12","issued":{"date-parts":[["2007"]]},"page":"1781-1787","title":"Synthesis, structure, and complexing ability of fluoroalkyl-containing 2,2′-(biphenyl-4,4′-diyldihydrazono)bis(1,3-dicarbonyl) compounds","type":"article-journal","volume":"43"},"uris":["http://www.mendeley.com/documents/?uuid=ca1ee67a-a329-4e58-b3ba-2e9a0ae3d938"]},{"id":"ITEM-6","itemData":{"DOI":"10.1007/s10947-008-0002-y","ISSN":"00224766","abstract":"The interactions of acridanes with oxidants were modeled using combined methods of quantum chemistry (DFT B3LYP/6-311G(d,p)), molecular mechanics, MERA model, and MOPS algorithm. The results of simulation are compared with XRD data, oxidation potentials of acridanes, and the reduction potentials of the products of the oxidation reaction. It is shown that elimination of the hydride anion by the reactions of acridanes with oxidants is a consequence of a two-step process; the first step is the transfer of electron density from the HOMO of acridane to the LUMO of the oxidant; the second step is hydrogen elimination from the acridane molecule due to hydrogen bonding with the oxygen atom of the oxidant. The details of the mechanism were established by modeling the acridane-oxidant complexes using the MOPS algorithm including the continuum model of the solvent. The logarithms of the rate constants of the processes depend on the structure parameters of the model complexes with correlation coefficients of at least 0.93. © 2008 Springer Science+Business Media, Inc.","author":[{"dropping-particle":"","family":"Grishina","given":"M. A.","non-dropping-particle":"","parse-names":false,"suffix":""},{"dropping-particle":"","family":"Potemkin","given":"V. A.","non-dropping-particle":"","parse-names":false,"suffix":""},{"dropping-particle":"","family":"Matern","given":"A. I.","non-dropping-particle":"","parse-names":false,"suffix":""}],"container-title":"Journal of Structural Chemistry","id":"ITEM-6","issue":"1","issued":{"date-parts":[["2008"]]},"page":"7-12","title":"Theoretical study of acridane oxidation reactions","type":"article-journal","volume":"49"},"uris":["http://www.mendeley.com/documents/?uuid=35967499-cf88-49ec-bde9-6d2a0f400cc7"]},{"id":"ITEM-7","itemData":{"DOI":"10.1007/s10947-009-0155-3","author":[{"dropping-particle":"","family":"N. N. Ivshina, E. V. Bartashevich, V. A. Potemkin, M. A. Grishina, R. I. Ishmetova, G. L. Rusinov, N. I. Latosh, P. Slepukhin","given":"V. N. Charushin","non-dropping-particle":"","parse-names":false,"suffix":""}],"container-title":"Journal of Structural Chemistry","id":"ITEM-7","issue":"6","issued":{"date-parts":[["2010"]]},"page":"1053-1058","title":"CHANGES IN THE VIBRATIONAL CHARACTERISTICS OF SUBSTITUTED 1,2,4,5-TETRAZINES AFTER COMPLEXATION WITH 1,2,3-BENZOTRIAZOLE: A THEORETICAL STUDY","type":"article-journal","volume":"50"},"uris":["http://www.mendeley.com/documents/?uuid=3b722e4e-342a-4491-a04c-469a3716b197"]}],"mendeley":{"formattedCitation":"&lt;sup&gt;32,33,54,59,63,64,68&lt;/sup&gt;","plainTextFormattedCitation":"32,33,54,59,63,64,68","previouslyFormattedCitation":"&lt;sup&gt;32,33,54,59,63,64,68&lt;/sup&gt;"},"properties":{"noteIndex":0},"schema":"https://github.com/citation-style-language/schema/raw/master/csl-citation.json"}</w:instrText>
      </w:r>
      <w:r w:rsidR="009705C8" w:rsidRPr="00773999">
        <w:fldChar w:fldCharType="separate"/>
      </w:r>
      <w:r w:rsidR="00773999" w:rsidRPr="00773999">
        <w:rPr>
          <w:noProof/>
          <w:vertAlign w:val="superscript"/>
        </w:rPr>
        <w:t>32,33,54,59,63,64,68</w:t>
      </w:r>
      <w:r w:rsidR="009705C8" w:rsidRPr="00773999">
        <w:fldChar w:fldCharType="end"/>
      </w:r>
      <w:r w:rsidR="00A868D9" w:rsidRPr="00773999">
        <w:t xml:space="preserve"> for the mo</w:t>
      </w:r>
      <w:r w:rsidR="009C5297" w:rsidRPr="00773999">
        <w:t>deling of proteins affinity</w:t>
      </w:r>
      <w:r w:rsidR="00A868D9" w:rsidRPr="00773999">
        <w:t>,</w:t>
      </w:r>
      <w:r w:rsidR="009705C8" w:rsidRPr="00773999">
        <w:fldChar w:fldCharType="begin" w:fldLock="1"/>
      </w:r>
      <w:r w:rsidR="00773999">
        <w:instrText>ADDIN CSL_CITATION {"citationItems":[{"id":"ITEM-1","itemData":{"DOI":"10.1093/protein/gzp043","ISBN":"1741-0134 (Electronic)\\r1741-0126 (Linking)","ISSN":"17410126","PMID":"19633313","abstract":"Multibillion-clone libraries of phages displaying guest peptides fused to the major coat protein pVIII (landscape libraries) are a rich source of probes for proteinaceous and non-proteinaceous targets. As opposed to the pIII-type fusion phages, which display peptides as independent structural domains, the guest peptides in the pVIII-fusion phages can be structurally and functionally influenced by contiguous subunits. To decipher the impact of the locale of a guest peptide on its affinity characteristics, we constructed a library of phages carrying beta-galactosidase-binding peptide ADTFAKSMQ at the N-terminus of the pVIII protein surrounded by random amino acids. It was found that mutagenesis of amino acids 12-19 (domain C) has polar effects on target binding affinity of the displayed peptide. The phages with highest affinity are characterized by: (i) a net electrostatic charge around -1 of domain C of the mutated phages at pH 7.0; (ii) a lower radius of cylinder coaxial to alpha-helix formed by domain C; (iii) a lower higher occupied molecular orbital (HOMO) of domain C leading to a decreased formation of hydrogen bonds and (iv) positively charged surface and torsion energy of domain C, which may require a conformational transition of N-terminal peptide ADTFAKSMQ for its binding with beta-galactosidase. Influence of the guest peptide on the diversity of mutations in the neighboring landscape area was also observed.","author":[{"dropping-particle":"","family":"Kuzmicheva","given":"G. A.","non-dropping-particle":"","parse-names":false,"suffix":""},{"dropping-particle":"","family":"Jayanna","given":"P. K.","non-dropping-particle":"","parse-names":false,"suffix":""},{"dropping-particle":"","family":"Eroshkin","given":"A. M.","non-dropping-particle":"","parse-names":false,"suffix":""},{"dropping-particle":"","family":"Grishina","given":"M. A.","non-dropping-particle":"","parse-names":false,"suffix":""},{"dropping-particle":"","family":"Pereyaslavskaya","given":"E. S.","non-dropping-particle":"","parse-names":false,"suffix":""},{"dropping-particle":"","family":"Potemkin","given":"V. A.","non-dropping-particle":"","parse-names":false,"suffix":""},{"dropping-particle":"","family":"Petrenko","given":"V. A.","non-dropping-particle":"","parse-names":false,"suffix":""}],"container-title":"Protein Engineering, Design and Selection","id":"ITEM-1","issue":"10","issued":{"date-parts":[["2009"]]},"page":"631-639","title":"Mutations in fd phage major coat protein modulate affinity of the displayed peptide","type":"article-journal","volume":"22"},"uris":["http://www.mendeley.com/documents/?uuid=215cd793-6ab3-489f-9e20-9474add426a0"]}],"mendeley":{"formattedCitation":"&lt;sup&gt;66&lt;/sup&gt;","plainTextFormattedCitation":"66","previouslyFormattedCitation":"&lt;sup&gt;66&lt;/sup&gt;"},"properties":{"noteIndex":0},"schema":"https://github.com/citation-style-language/schema/raw/master/csl-citation.json"}</w:instrText>
      </w:r>
      <w:r w:rsidR="009705C8" w:rsidRPr="00773999">
        <w:fldChar w:fldCharType="separate"/>
      </w:r>
      <w:r w:rsidR="00773999" w:rsidRPr="00773999">
        <w:rPr>
          <w:noProof/>
          <w:vertAlign w:val="superscript"/>
        </w:rPr>
        <w:t>66</w:t>
      </w:r>
      <w:r w:rsidR="009705C8" w:rsidRPr="00773999">
        <w:fldChar w:fldCharType="end"/>
      </w:r>
      <w:r w:rsidR="00A868D9" w:rsidRPr="00773999">
        <w:t xml:space="preserve"> for the modeling of crystal structures and interaction energies of gas hydrates.</w:t>
      </w:r>
      <w:r w:rsidR="009705C8" w:rsidRPr="00773999">
        <w:fldChar w:fldCharType="begin" w:fldLock="1"/>
      </w:r>
      <w:r w:rsidR="00773999">
        <w:instrText>ADDIN CSL_CITATION {"citationItems":[{"id":"ITEM-1","itemData":{"DOI":"10.1021/jp061698r","author":[{"dropping-particle":"","family":"Aladko","given":"E. Ya","non-dropping-particle":"","parse-names":false,"suffix":""},{"dropping-particle":"","family":"Ancharov","given":"A I","non-dropping-particle":"","parse-names":false,"suffix":""},{"dropping-particle":"V","family":"Goryainov","given":"S","non-dropping-particle":"","parse-names":false,"suffix":""},{"dropping-particle":"V","family":"Kurnosov","given":"A","non-dropping-particle":"","parse-names":false,"suffix":""},{"dropping-particle":"","family":"Larionov","given":"E G","non-dropping-particle":"","parse-names":false,"suffix":""},{"dropping-particle":"","family":"Likhacheva","given":"A Yu","non-dropping-particle":"","parse-names":false,"suffix":""},{"dropping-particle":"","family":"Manakov","given":"Andrey Yu","non-dropping-particle":"","parse-names":false,"suffix":""},{"dropping-particle":"","family":"Potemkin","given":"V A","non-dropping-particle":"","parse-names":false,"suffix":""},{"dropping-particle":"","family":"Sheromov","given":"M A","non-dropping-particle":"","parse-names":false,"suffix":""},{"dropping-particle":"","family":"Teplykh","given":"A E","non-dropping-particle":"","parse-names":false,"suffix":""},{"dropping-particle":"","family":"Voronin","given":"V I","non-dropping-particle":"","parse-names":false,"suffix":""},{"dropping-particle":"V","family":"Zhurko","given":"F","non-dropping-particle":"","parse-names":false,"suffix":""}],"container-title":"Journal of Physical Chemistry B","id":"ITEM-1","issue":"42","issued":{"date-parts":[["2006"]]},"page":"21371-21376","title":"New Type of Phase Transformation in Gas Hydrate Forming System at High Pressures. Some Experimental and Computational Investigations of Clathrate Hydrates Formed in the SF 6 -H 2 O System","type":"article-journal","volume":"110"},"uris":["http://www.mendeley.com/documents/?uuid=a29d88b0-373e-414a-959a-82875f5d6c94"]},{"id":"ITEM-2","itemData":{"DOI":"10.1002/cphc.201100126","ISSN":"14394235","PMID":"21717564","abstract":"Experimental data on the pressure dependence of unit cell parameters for the gas hydrates of ethane (cubic structure I, pressure range 0-2 GPa), xenon (cubic structure I, pressure range 0-1.5 GPa) and the double hydrate of tetrahydrofuran+xenon (cubic structure II, pressure range 0-3 GPa) are presented. Approximation of the data using the cubic Birch-Murnaghan equation, P=1.5B(0)[(V(0)/V)(7/3)-(V(0)/V)(5/3)], gave the following results: for ethane hydrate V(0)=1781 Å(3) , B(0)=11.2 GPa; for xenon hydrate V(0)=1726 Å(3) , B(0)=9.3 GPa; for the double hydrate of tetrahydrofuran+xenon V(0)=5323 Å(3) , B(0)=8.8 GPa. In the last case, the approximation was performed within the pressure range 0-1.5 GPa; it is impossible to describe the results within a broader pressure range using the cubic Birch-Murnaghan equation. At the maximum pressure of the existence of the double hydrate of tetrahydrofuran+xenon (3.1 GPa), the unit cell volume was 86% of the unit cell volume at zero pressure. Analysis of the experimental data obtained by us and data available from the literature showed that 1) the bulk modulus of gas hydrates with classical polyhedral structures, in most cases, are close to each other and 2) the bulk modulus is mainly determined by the elasticity of the hydrogen-bonded water framework. Variable filling of the cavities with guest molecules also has a substantial effect on the bulk modulus. On the basis of the obtained results, we concluded that the bulk modulus of gas hydrates with classical polyhedral structures and existing at pressures up to 1.5 GPa was equal to (9±2) GPa. In cases when data on the equations of state for the hydrates were unavailable, the indicated values may be recommended as the most probable ones.","author":[{"dropping-particle":"","family":"Manakov","given":"Andrey Yu","non-dropping-particle":"","parse-names":false,"suffix":""},{"dropping-particle":"","family":"Likhacheva","given":"Anna Yu","non-dropping-particle":"","parse-names":false,"suffix":""},{"dropping-particle":"","family":"Potemkin","given":"Vladimir A.","non-dropping-particle":"","parse-names":false,"suffix":""},{"dropping-particle":"","family":"Ogienko","given":"Andrey G.","non-dropping-particle":"","parse-names":false,"suffix":""},{"dropping-particle":"V.","family":"Kurnosov","given":"Alexander","non-dropping-particle":"","parse-names":false,"suffix":""},{"dropping-particle":"","family":"Ancharov","given":"Aleksei I.","non-dropping-particle":"","parse-names":false,"suffix":""}],"container-title":"ChemPhysChem","id":"ITEM-2","issue":"13","issued":{"date-parts":[["2011"]]},"page":"2476-2484","title":"Compressibility of gas hydrates","type":"article-journal","volume":"12"},"uris":["http://www.mendeley.com/documents/?uuid=457e6e05-4d22-4d4f-a261-eac2a16ce9a7"]}],"mendeley":{"formattedCitation":"&lt;sup&gt;58,69&lt;/sup&gt;","plainTextFormattedCitation":"58,69","previouslyFormattedCitation":"&lt;sup&gt;58,69&lt;/sup&gt;"},"properties":{"noteIndex":0},"schema":"https://github.com/citation-style-language/schema/raw/master/csl-citation.json"}</w:instrText>
      </w:r>
      <w:r w:rsidR="009705C8" w:rsidRPr="00773999">
        <w:fldChar w:fldCharType="separate"/>
      </w:r>
      <w:r w:rsidR="00773999" w:rsidRPr="00773999">
        <w:rPr>
          <w:noProof/>
          <w:vertAlign w:val="superscript"/>
        </w:rPr>
        <w:t>58,69</w:t>
      </w:r>
      <w:r w:rsidR="009705C8" w:rsidRPr="00773999">
        <w:fldChar w:fldCharType="end"/>
      </w:r>
      <w:r w:rsidR="00A868D9" w:rsidRPr="00773999">
        <w:t xml:space="preserve"> The calculated energies</w:t>
      </w:r>
      <w:r w:rsidR="00A868D9" w:rsidRPr="005532D4">
        <w:t>,</w:t>
      </w:r>
      <w:r w:rsidR="005532D4" w:rsidRPr="005532D4">
        <w:t xml:space="preserve"> </w:t>
      </w:r>
      <w:r w:rsidR="00773999" w:rsidRPr="005532D4">
        <w:t>thermodynamic characteristics (such as enthalpies, entropies, Gibbs free energies); modeled structures of complexes, crystals</w:t>
      </w:r>
      <w:r w:rsidR="00B36292" w:rsidRPr="005532D4">
        <w:t>,</w:t>
      </w:r>
      <w:r w:rsidR="00773999" w:rsidRPr="005532D4">
        <w:t xml:space="preserve"> and clusters; predicted yields, rates, </w:t>
      </w:r>
      <w:proofErr w:type="spellStart"/>
      <w:r w:rsidR="00773999" w:rsidRPr="005532D4">
        <w:t>regio</w:t>
      </w:r>
      <w:proofErr w:type="spellEnd"/>
      <w:r w:rsidR="00773999" w:rsidRPr="005532D4">
        <w:t xml:space="preserve">- </w:t>
      </w:r>
      <w:r w:rsidR="00773999" w:rsidRPr="005532D4">
        <w:lastRenderedPageBreak/>
        <w:t xml:space="preserve">and </w:t>
      </w:r>
      <w:proofErr w:type="spellStart"/>
      <w:r w:rsidR="00773999" w:rsidRPr="005532D4">
        <w:t>stereospecificity</w:t>
      </w:r>
      <w:proofErr w:type="spellEnd"/>
      <w:r w:rsidR="00773999" w:rsidRPr="005532D4">
        <w:t xml:space="preserve"> of reactions were in a good agreement with the experimental ones that shown enough in the above</w:t>
      </w:r>
      <w:r w:rsidR="0092216F" w:rsidRPr="005532D4">
        <w:t>-</w:t>
      </w:r>
      <w:r w:rsidR="00773999" w:rsidRPr="005532D4">
        <w:t>listed publications.</w:t>
      </w:r>
    </w:p>
    <w:p w:rsidR="00773999" w:rsidRPr="005532D4" w:rsidRDefault="00773999" w:rsidP="00773999">
      <w:pPr>
        <w:spacing w:line="480" w:lineRule="auto"/>
        <w:ind w:firstLine="142"/>
        <w:rPr>
          <w:rFonts w:ascii="Times New Roman" w:eastAsia="Calibri" w:hAnsi="Times New Roman"/>
        </w:rPr>
      </w:pPr>
      <w:r w:rsidRPr="005532D4">
        <w:rPr>
          <w:rFonts w:ascii="Times New Roman" w:eastAsia="Calibri" w:hAnsi="Times New Roman"/>
        </w:rPr>
        <w:t xml:space="preserve">The total energy of </w:t>
      </w:r>
      <w:r w:rsidR="006A625F" w:rsidRPr="005532D4">
        <w:rPr>
          <w:rFonts w:ascii="Times New Roman" w:eastAsia="Calibri" w:hAnsi="Times New Roman"/>
        </w:rPr>
        <w:t xml:space="preserve">a </w:t>
      </w:r>
      <w:r w:rsidRPr="005532D4">
        <w:rPr>
          <w:rFonts w:ascii="Times New Roman" w:eastAsia="Calibri" w:hAnsi="Times New Roman"/>
        </w:rPr>
        <w:t>system TiO</w:t>
      </w:r>
      <w:r w:rsidRPr="005532D4">
        <w:rPr>
          <w:rFonts w:ascii="Times New Roman" w:eastAsia="Calibri" w:hAnsi="Times New Roman"/>
          <w:vertAlign w:val="subscript"/>
        </w:rPr>
        <w:t>2</w:t>
      </w:r>
      <w:r w:rsidRPr="005532D4">
        <w:rPr>
          <w:rFonts w:ascii="Times New Roman" w:eastAsia="Calibri" w:hAnsi="Times New Roman"/>
        </w:rPr>
        <w:t xml:space="preserve"> – solvent – amino acid (</w:t>
      </w:r>
      <w:r w:rsidRPr="005532D4">
        <w:rPr>
          <w:rFonts w:ascii="Times New Roman" w:eastAsia="Calibri" w:hAnsi="Times New Roman"/>
          <w:i/>
        </w:rPr>
        <w:t>E</w:t>
      </w:r>
      <w:r w:rsidRPr="005532D4">
        <w:rPr>
          <w:rFonts w:ascii="Times New Roman" w:eastAsia="Calibri" w:hAnsi="Times New Roman"/>
          <w:i/>
          <w:vertAlign w:val="subscript"/>
        </w:rPr>
        <w:t>T</w:t>
      </w:r>
      <w:r w:rsidRPr="005532D4">
        <w:rPr>
          <w:rFonts w:ascii="Times New Roman" w:eastAsia="Calibri" w:hAnsi="Times New Roman"/>
        </w:rPr>
        <w:t>) was calculate</w:t>
      </w:r>
      <w:r w:rsidR="006A625F" w:rsidRPr="005532D4">
        <w:rPr>
          <w:rFonts w:ascii="Times New Roman" w:eastAsia="Calibri" w:hAnsi="Times New Roman"/>
        </w:rPr>
        <w:t xml:space="preserve">d using the equation </w:t>
      </w:r>
      <w:r w:rsidR="006A625F" w:rsidRPr="005532D4">
        <w:rPr>
          <w:rFonts w:ascii="Times New Roman" w:eastAsia="Calibri" w:hAnsi="Times New Roman"/>
          <w:i/>
        </w:rPr>
        <w:t>(14)</w:t>
      </w:r>
      <w:r w:rsidR="006A625F" w:rsidRPr="005532D4">
        <w:rPr>
          <w:rFonts w:ascii="Times New Roman" w:eastAsia="Calibri" w:hAnsi="Times New Roman"/>
        </w:rPr>
        <w:t xml:space="preserve"> according to</w:t>
      </w:r>
      <w:r w:rsidRPr="005532D4">
        <w:rPr>
          <w:rFonts w:ascii="Times New Roman" w:eastAsia="Calibri" w:hAnsi="Times New Roman"/>
        </w:rPr>
        <w:t xml:space="preserve"> </w:t>
      </w:r>
      <w:r w:rsidRPr="005532D4">
        <w:rPr>
          <w:rFonts w:ascii="Times New Roman" w:eastAsia="Calibri" w:hAnsi="Times New Roman"/>
          <w:vertAlign w:val="superscript"/>
        </w:rPr>
        <w:t>52-69</w:t>
      </w:r>
    </w:p>
    <w:p w:rsidR="00773999" w:rsidRPr="005532D4" w:rsidRDefault="00773999" w:rsidP="00773999">
      <w:pPr>
        <w:spacing w:line="480" w:lineRule="auto"/>
        <w:jc w:val="center"/>
        <w:rPr>
          <w:rFonts w:ascii="Times New Roman" w:eastAsiaTheme="minorEastAsia" w:hAnsi="Times New Roman"/>
        </w:rPr>
      </w:pPr>
      <w:r w:rsidRPr="005532D4">
        <w:rPr>
          <w:rFonts w:ascii="Times New Roman" w:eastAsiaTheme="minorEastAsia" w:hAnsi="Times New Roman"/>
          <w:position w:val="-32"/>
        </w:rPr>
        <w:object w:dxaOrig="4420" w:dyaOrig="740">
          <v:shape id="_x0000_i1043" type="#_x0000_t75" style="width:223.6pt;height:37.9pt" o:ole="">
            <v:imagedata r:id="rId58" o:title=""/>
          </v:shape>
          <o:OLEObject Type="Embed" ProgID="Equation.DSMT4" ShapeID="_x0000_i1043" DrawAspect="Content" ObjectID="_1606303038" r:id="rId59"/>
        </w:object>
      </w:r>
      <w:r w:rsidRPr="005532D4">
        <w:rPr>
          <w:rFonts w:ascii="Times New Roman" w:eastAsiaTheme="minorEastAsia" w:hAnsi="Times New Roman"/>
        </w:rPr>
        <w:tab/>
      </w:r>
      <w:r w:rsidRPr="005532D4">
        <w:rPr>
          <w:rFonts w:ascii="Times New Roman" w:eastAsiaTheme="minorEastAsia" w:hAnsi="Times New Roman"/>
          <w:i/>
        </w:rPr>
        <w:t>(14)</w:t>
      </w:r>
    </w:p>
    <w:p w:rsidR="00773999" w:rsidRDefault="00773999" w:rsidP="00773999">
      <w:pPr>
        <w:spacing w:line="480" w:lineRule="auto"/>
        <w:rPr>
          <w:rFonts w:ascii="Times New Roman" w:eastAsiaTheme="minorEastAsia" w:hAnsi="Times New Roman"/>
        </w:rPr>
      </w:pPr>
      <w:r w:rsidRPr="005532D4">
        <w:rPr>
          <w:rFonts w:ascii="Times New Roman" w:eastAsiaTheme="minorEastAsia" w:hAnsi="Times New Roman"/>
        </w:rPr>
        <w:t xml:space="preserve">where </w:t>
      </w:r>
      <w:r w:rsidRPr="005532D4">
        <w:rPr>
          <w:rFonts w:ascii="Times New Roman" w:eastAsiaTheme="minorEastAsia" w:hAnsi="Times New Roman"/>
          <w:i/>
        </w:rPr>
        <w:t>K</w:t>
      </w:r>
      <w:r w:rsidRPr="005532D4">
        <w:rPr>
          <w:rFonts w:ascii="Times New Roman" w:eastAsiaTheme="minorEastAsia" w:hAnsi="Times New Roman"/>
        </w:rPr>
        <w:t xml:space="preserve"> is the number of </w:t>
      </w:r>
      <w:r w:rsidR="006A625F" w:rsidRPr="005532D4">
        <w:rPr>
          <w:rFonts w:ascii="Times New Roman" w:eastAsiaTheme="minorEastAsia" w:hAnsi="Times New Roman"/>
        </w:rPr>
        <w:t xml:space="preserve">system </w:t>
      </w:r>
      <w:proofErr w:type="spellStart"/>
      <w:r w:rsidRPr="005532D4">
        <w:rPr>
          <w:rFonts w:ascii="Times New Roman" w:eastAsiaTheme="minorEastAsia" w:hAnsi="Times New Roman"/>
        </w:rPr>
        <w:t>componentsn</w:t>
      </w:r>
      <w:proofErr w:type="spellEnd"/>
      <w:r w:rsidRPr="005532D4">
        <w:rPr>
          <w:rFonts w:ascii="Times New Roman" w:eastAsiaTheme="minorEastAsia" w:hAnsi="Times New Roman"/>
        </w:rPr>
        <w:t xml:space="preserve">; </w:t>
      </w:r>
      <w:r w:rsidRPr="00400A92">
        <w:rPr>
          <w:rFonts w:ascii="Times New Roman" w:eastAsiaTheme="minorEastAsia" w:hAnsi="Times New Roman"/>
          <w:i/>
          <w:noProof/>
        </w:rPr>
        <w:t>N</w:t>
      </w:r>
      <w:r w:rsidRPr="00400A92">
        <w:rPr>
          <w:rFonts w:ascii="Times New Roman" w:eastAsiaTheme="minorEastAsia" w:hAnsi="Times New Roman"/>
          <w:i/>
          <w:noProof/>
          <w:vertAlign w:val="subscript"/>
        </w:rPr>
        <w:t>n</w:t>
      </w:r>
      <w:r w:rsidRPr="005532D4">
        <w:rPr>
          <w:rFonts w:ascii="Times New Roman" w:eastAsiaTheme="minorEastAsia" w:hAnsi="Times New Roman"/>
        </w:rPr>
        <w:t xml:space="preserve"> and </w:t>
      </w:r>
      <w:proofErr w:type="spellStart"/>
      <w:r w:rsidRPr="005532D4">
        <w:rPr>
          <w:rFonts w:ascii="Times New Roman" w:eastAsiaTheme="minorEastAsia" w:hAnsi="Times New Roman"/>
          <w:i/>
        </w:rPr>
        <w:t>N</w:t>
      </w:r>
      <w:r w:rsidRPr="005532D4">
        <w:rPr>
          <w:rFonts w:ascii="Times New Roman" w:eastAsiaTheme="minorEastAsia" w:hAnsi="Times New Roman"/>
          <w:i/>
          <w:vertAlign w:val="subscript"/>
        </w:rPr>
        <w:t>l</w:t>
      </w:r>
      <w:proofErr w:type="spellEnd"/>
      <w:r w:rsidRPr="005532D4">
        <w:rPr>
          <w:rFonts w:ascii="Times New Roman" w:eastAsiaTheme="minorEastAsia" w:hAnsi="Times New Roman"/>
        </w:rPr>
        <w:t xml:space="preserve"> are the numbers of atoms of </w:t>
      </w:r>
      <w:r w:rsidRPr="005532D4">
        <w:rPr>
          <w:rFonts w:ascii="Times New Roman" w:eastAsiaTheme="minorEastAsia" w:hAnsi="Times New Roman"/>
          <w:i/>
        </w:rPr>
        <w:t>n</w:t>
      </w:r>
      <w:r w:rsidRPr="005532D4">
        <w:rPr>
          <w:rFonts w:ascii="Times New Roman" w:eastAsiaTheme="minorEastAsia" w:hAnsi="Times New Roman"/>
          <w:vertAlign w:val="superscript"/>
        </w:rPr>
        <w:t>th</w:t>
      </w:r>
      <w:r w:rsidRPr="005532D4">
        <w:rPr>
          <w:rFonts w:ascii="Times New Roman" w:eastAsiaTheme="minorEastAsia" w:hAnsi="Times New Roman"/>
        </w:rPr>
        <w:t xml:space="preserve"> and </w:t>
      </w:r>
      <w:r w:rsidRPr="005532D4">
        <w:rPr>
          <w:rFonts w:ascii="Times New Roman" w:eastAsiaTheme="minorEastAsia" w:hAnsi="Times New Roman"/>
          <w:i/>
        </w:rPr>
        <w:t>l</w:t>
      </w:r>
      <w:r w:rsidRPr="005532D4">
        <w:rPr>
          <w:rFonts w:ascii="Times New Roman" w:eastAsiaTheme="minorEastAsia" w:hAnsi="Times New Roman"/>
          <w:vertAlign w:val="superscript"/>
        </w:rPr>
        <w:t>th</w:t>
      </w:r>
      <w:r w:rsidRPr="005532D4">
        <w:rPr>
          <w:rFonts w:ascii="Times New Roman" w:eastAsiaTheme="minorEastAsia" w:hAnsi="Times New Roman"/>
        </w:rPr>
        <w:t xml:space="preserve"> components, correspondingly; </w:t>
      </w:r>
      <w:proofErr w:type="spellStart"/>
      <w:r w:rsidRPr="005532D4">
        <w:rPr>
          <w:rFonts w:ascii="Times New Roman" w:eastAsiaTheme="minorEastAsia" w:hAnsi="Times New Roman"/>
          <w:i/>
        </w:rPr>
        <w:t>E</w:t>
      </w:r>
      <w:r w:rsidRPr="005532D4">
        <w:rPr>
          <w:rFonts w:ascii="Times New Roman" w:eastAsiaTheme="minorEastAsia" w:hAnsi="Times New Roman"/>
          <w:i/>
          <w:vertAlign w:val="subscript"/>
        </w:rPr>
        <w:t>ij</w:t>
      </w:r>
      <w:proofErr w:type="spellEnd"/>
      <w:r w:rsidRPr="005532D4">
        <w:rPr>
          <w:rFonts w:ascii="Times New Roman" w:eastAsiaTheme="minorEastAsia" w:hAnsi="Times New Roman"/>
        </w:rPr>
        <w:t xml:space="preserve"> </w:t>
      </w:r>
      <w:r w:rsidR="006A625F" w:rsidRPr="005532D4">
        <w:rPr>
          <w:rFonts w:ascii="Times New Roman" w:eastAsiaTheme="minorEastAsia" w:hAnsi="Times New Roman"/>
        </w:rPr>
        <w:t xml:space="preserve">is </w:t>
      </w:r>
      <w:r w:rsidRPr="005532D4">
        <w:rPr>
          <w:rFonts w:ascii="Times New Roman" w:eastAsiaTheme="minorEastAsia" w:hAnsi="Times New Roman"/>
        </w:rPr>
        <w:t xml:space="preserve">the interaction energy between </w:t>
      </w:r>
      <w:proofErr w:type="spellStart"/>
      <w:r w:rsidRPr="005532D4">
        <w:rPr>
          <w:rFonts w:ascii="Times New Roman" w:eastAsiaTheme="minorEastAsia" w:hAnsi="Times New Roman"/>
          <w:i/>
        </w:rPr>
        <w:t>i</w:t>
      </w:r>
      <w:r w:rsidRPr="005532D4">
        <w:rPr>
          <w:rFonts w:ascii="Times New Roman" w:eastAsiaTheme="minorEastAsia" w:hAnsi="Times New Roman"/>
          <w:vertAlign w:val="superscript"/>
        </w:rPr>
        <w:t>th</w:t>
      </w:r>
      <w:proofErr w:type="spellEnd"/>
      <w:r w:rsidRPr="005532D4">
        <w:rPr>
          <w:rFonts w:ascii="Times New Roman" w:eastAsiaTheme="minorEastAsia" w:hAnsi="Times New Roman"/>
        </w:rPr>
        <w:t xml:space="preserve"> and </w:t>
      </w:r>
      <w:proofErr w:type="spellStart"/>
      <w:r w:rsidRPr="005532D4">
        <w:rPr>
          <w:rFonts w:ascii="Times New Roman" w:eastAsiaTheme="minorEastAsia" w:hAnsi="Times New Roman"/>
          <w:i/>
        </w:rPr>
        <w:t>j</w:t>
      </w:r>
      <w:r w:rsidRPr="005532D4">
        <w:rPr>
          <w:rFonts w:ascii="Times New Roman" w:eastAsiaTheme="minorEastAsia" w:hAnsi="Times New Roman"/>
          <w:vertAlign w:val="superscript"/>
        </w:rPr>
        <w:t>th</w:t>
      </w:r>
      <w:proofErr w:type="spellEnd"/>
      <w:r w:rsidRPr="005532D4">
        <w:rPr>
          <w:rFonts w:ascii="Times New Roman" w:eastAsiaTheme="minorEastAsia" w:hAnsi="Times New Roman"/>
        </w:rPr>
        <w:t xml:space="preserve"> atoms of </w:t>
      </w:r>
      <w:r w:rsidRPr="005532D4">
        <w:rPr>
          <w:rFonts w:ascii="Times New Roman" w:eastAsiaTheme="minorEastAsia" w:hAnsi="Times New Roman"/>
          <w:i/>
        </w:rPr>
        <w:t>n</w:t>
      </w:r>
      <w:r w:rsidRPr="005532D4">
        <w:rPr>
          <w:rFonts w:ascii="Times New Roman" w:eastAsiaTheme="minorEastAsia" w:hAnsi="Times New Roman"/>
          <w:vertAlign w:val="superscript"/>
        </w:rPr>
        <w:t>th</w:t>
      </w:r>
      <w:r w:rsidRPr="005532D4">
        <w:rPr>
          <w:rFonts w:ascii="Times New Roman" w:eastAsiaTheme="minorEastAsia" w:hAnsi="Times New Roman"/>
        </w:rPr>
        <w:t xml:space="preserve"> and </w:t>
      </w:r>
      <w:r w:rsidRPr="005532D4">
        <w:rPr>
          <w:rFonts w:ascii="Times New Roman" w:eastAsiaTheme="minorEastAsia" w:hAnsi="Times New Roman"/>
          <w:i/>
        </w:rPr>
        <w:t>l</w:t>
      </w:r>
      <w:r w:rsidRPr="005532D4">
        <w:rPr>
          <w:rFonts w:ascii="Times New Roman" w:eastAsiaTheme="minorEastAsia" w:hAnsi="Times New Roman"/>
          <w:vertAlign w:val="superscript"/>
        </w:rPr>
        <w:t>th</w:t>
      </w:r>
      <w:r w:rsidRPr="005532D4">
        <w:rPr>
          <w:rFonts w:ascii="Times New Roman" w:eastAsiaTheme="minorEastAsia" w:hAnsi="Times New Roman"/>
        </w:rPr>
        <w:t xml:space="preserve"> components correspondingly (sum of Coulomb and Van der Waals energies); </w:t>
      </w:r>
      <w:r w:rsidRPr="005532D4">
        <w:rPr>
          <w:rFonts w:ascii="Times New Roman" w:eastAsiaTheme="minorEastAsia" w:hAnsi="Times New Roman"/>
          <w:i/>
        </w:rPr>
        <w:t>k</w:t>
      </w:r>
      <w:r w:rsidRPr="005532D4">
        <w:rPr>
          <w:rFonts w:ascii="Times New Roman" w:eastAsiaTheme="minorEastAsia" w:hAnsi="Times New Roman"/>
        </w:rPr>
        <w:t xml:space="preserve"> is the Boltzmann constant; </w:t>
      </w:r>
      <w:r w:rsidRPr="005532D4">
        <w:rPr>
          <w:rFonts w:ascii="Times New Roman" w:eastAsiaTheme="minorEastAsia" w:hAnsi="Times New Roman"/>
          <w:i/>
        </w:rPr>
        <w:t>T</w:t>
      </w:r>
      <w:r w:rsidRPr="005532D4">
        <w:rPr>
          <w:rFonts w:ascii="Times New Roman" w:eastAsiaTheme="minorEastAsia" w:hAnsi="Times New Roman"/>
        </w:rPr>
        <w:t xml:space="preserve"> is the absolute temperature; </w:t>
      </w:r>
      <w:proofErr w:type="spellStart"/>
      <w:r w:rsidRPr="005532D4">
        <w:rPr>
          <w:rFonts w:ascii="Times New Roman" w:eastAsiaTheme="minorEastAsia" w:hAnsi="Times New Roman"/>
          <w:i/>
        </w:rPr>
        <w:t>R</w:t>
      </w:r>
      <w:r w:rsidRPr="005532D4">
        <w:rPr>
          <w:rFonts w:ascii="Times New Roman" w:eastAsiaTheme="minorEastAsia" w:hAnsi="Times New Roman"/>
          <w:i/>
          <w:vertAlign w:val="subscript"/>
        </w:rPr>
        <w:t>ij</w:t>
      </w:r>
      <w:proofErr w:type="spellEnd"/>
      <w:r w:rsidRPr="005532D4">
        <w:rPr>
          <w:rFonts w:ascii="Times New Roman" w:eastAsiaTheme="minorEastAsia" w:hAnsi="Times New Roman"/>
        </w:rPr>
        <w:t xml:space="preserve"> is the distance; between </w:t>
      </w:r>
      <w:proofErr w:type="spellStart"/>
      <w:r w:rsidRPr="005532D4">
        <w:rPr>
          <w:rFonts w:ascii="Times New Roman" w:eastAsiaTheme="minorEastAsia" w:hAnsi="Times New Roman"/>
          <w:i/>
        </w:rPr>
        <w:t>i</w:t>
      </w:r>
      <w:r w:rsidRPr="005532D4">
        <w:rPr>
          <w:rFonts w:ascii="Times New Roman" w:eastAsiaTheme="minorEastAsia" w:hAnsi="Times New Roman"/>
          <w:vertAlign w:val="superscript"/>
        </w:rPr>
        <w:t>th</w:t>
      </w:r>
      <w:proofErr w:type="spellEnd"/>
      <w:r w:rsidRPr="005532D4">
        <w:rPr>
          <w:rFonts w:ascii="Times New Roman" w:eastAsiaTheme="minorEastAsia" w:hAnsi="Times New Roman"/>
        </w:rPr>
        <w:t xml:space="preserve"> and </w:t>
      </w:r>
      <w:proofErr w:type="spellStart"/>
      <w:r w:rsidRPr="005532D4">
        <w:rPr>
          <w:rFonts w:ascii="Times New Roman" w:eastAsiaTheme="minorEastAsia" w:hAnsi="Times New Roman"/>
          <w:i/>
        </w:rPr>
        <w:t>j</w:t>
      </w:r>
      <w:r w:rsidRPr="005532D4">
        <w:rPr>
          <w:rFonts w:ascii="Times New Roman" w:eastAsiaTheme="minorEastAsia" w:hAnsi="Times New Roman"/>
          <w:vertAlign w:val="superscript"/>
        </w:rPr>
        <w:t>th</w:t>
      </w:r>
      <w:proofErr w:type="spellEnd"/>
      <w:r w:rsidRPr="005532D4">
        <w:rPr>
          <w:rFonts w:ascii="Times New Roman" w:eastAsiaTheme="minorEastAsia" w:hAnsi="Times New Roman"/>
        </w:rPr>
        <w:t xml:space="preserve"> atoms; </w:t>
      </w:r>
      <w:proofErr w:type="spellStart"/>
      <w:r w:rsidRPr="005532D4">
        <w:rPr>
          <w:rFonts w:ascii="Times New Roman" w:eastAsiaTheme="minorEastAsia" w:hAnsi="Times New Roman"/>
          <w:i/>
        </w:rPr>
        <w:t>χ</w:t>
      </w:r>
      <w:r w:rsidRPr="005532D4">
        <w:rPr>
          <w:rFonts w:ascii="Times New Roman" w:eastAsiaTheme="minorEastAsia" w:hAnsi="Times New Roman"/>
          <w:i/>
          <w:vertAlign w:val="subscript"/>
        </w:rPr>
        <w:t>n</w:t>
      </w:r>
      <w:proofErr w:type="spellEnd"/>
      <w:r w:rsidRPr="005532D4">
        <w:rPr>
          <w:rFonts w:ascii="Times New Roman" w:eastAsiaTheme="minorEastAsia" w:hAnsi="Times New Roman"/>
        </w:rPr>
        <w:t xml:space="preserve"> and </w:t>
      </w:r>
      <w:proofErr w:type="spellStart"/>
      <w:r w:rsidRPr="005532D4">
        <w:rPr>
          <w:rFonts w:ascii="Times New Roman" w:eastAsiaTheme="minorEastAsia" w:hAnsi="Times New Roman"/>
          <w:i/>
        </w:rPr>
        <w:t>χ</w:t>
      </w:r>
      <w:r w:rsidRPr="005532D4">
        <w:rPr>
          <w:rFonts w:ascii="Times New Roman" w:eastAsiaTheme="minorEastAsia" w:hAnsi="Times New Roman"/>
          <w:i/>
          <w:vertAlign w:val="subscript"/>
        </w:rPr>
        <w:t>l</w:t>
      </w:r>
      <w:proofErr w:type="spellEnd"/>
      <w:r w:rsidRPr="005532D4">
        <w:rPr>
          <w:rFonts w:ascii="Times New Roman" w:eastAsiaTheme="minorEastAsia" w:hAnsi="Times New Roman"/>
        </w:rPr>
        <w:t xml:space="preserve"> are concentrations (mole doles) of </w:t>
      </w:r>
      <w:r w:rsidRPr="005532D4">
        <w:rPr>
          <w:rFonts w:ascii="Times New Roman" w:eastAsiaTheme="minorEastAsia" w:hAnsi="Times New Roman"/>
          <w:i/>
        </w:rPr>
        <w:t>n</w:t>
      </w:r>
      <w:r w:rsidRPr="005532D4">
        <w:rPr>
          <w:rFonts w:ascii="Times New Roman" w:eastAsiaTheme="minorEastAsia" w:hAnsi="Times New Roman"/>
          <w:vertAlign w:val="superscript"/>
        </w:rPr>
        <w:t>th</w:t>
      </w:r>
      <w:r w:rsidRPr="005532D4">
        <w:rPr>
          <w:rFonts w:ascii="Times New Roman" w:eastAsiaTheme="minorEastAsia" w:hAnsi="Times New Roman"/>
        </w:rPr>
        <w:t xml:space="preserve"> and </w:t>
      </w:r>
      <w:r w:rsidRPr="005532D4">
        <w:rPr>
          <w:rFonts w:ascii="Times New Roman" w:eastAsiaTheme="minorEastAsia" w:hAnsi="Times New Roman"/>
          <w:i/>
        </w:rPr>
        <w:t>l</w:t>
      </w:r>
      <w:r w:rsidRPr="005532D4">
        <w:rPr>
          <w:rFonts w:ascii="Times New Roman" w:eastAsiaTheme="minorEastAsia" w:hAnsi="Times New Roman"/>
          <w:vertAlign w:val="superscript"/>
        </w:rPr>
        <w:t>th</w:t>
      </w:r>
      <w:r w:rsidRPr="005532D4">
        <w:rPr>
          <w:rFonts w:ascii="Times New Roman" w:eastAsiaTheme="minorEastAsia" w:hAnsi="Times New Roman"/>
        </w:rPr>
        <w:t xml:space="preserve"> components correspondingly. Thus, concentrations of all components of the solution, including the solvent, </w:t>
      </w:r>
      <w:r w:rsidR="006A625F" w:rsidRPr="005532D4">
        <w:rPr>
          <w:rFonts w:ascii="Times New Roman" w:eastAsiaTheme="minorEastAsia" w:hAnsi="Times New Roman"/>
        </w:rPr>
        <w:t>were</w:t>
      </w:r>
      <w:r w:rsidRPr="005532D4">
        <w:rPr>
          <w:rFonts w:ascii="Times New Roman" w:eastAsiaTheme="minorEastAsia" w:hAnsi="Times New Roman"/>
        </w:rPr>
        <w:t xml:space="preserve"> taken into account.</w:t>
      </w:r>
    </w:p>
    <w:p w:rsidR="00181D1D" w:rsidRPr="00181D1D" w:rsidRDefault="00317E0D" w:rsidP="00181D1D">
      <w:pPr>
        <w:spacing w:line="480" w:lineRule="auto"/>
        <w:ind w:firstLine="142"/>
        <w:rPr>
          <w:rFonts w:ascii="Times New Roman" w:eastAsia="Calibri" w:hAnsi="Times New Roman"/>
          <w:szCs w:val="24"/>
        </w:rPr>
      </w:pPr>
      <w:r w:rsidRPr="00181D1D">
        <w:rPr>
          <w:rFonts w:ascii="Times New Roman" w:hAnsi="Times New Roman"/>
          <w:szCs w:val="24"/>
        </w:rPr>
        <w:t xml:space="preserve">The analysis of the total energy for titanium dioxide complexes with amino acids and their zwitterions revealed that complexation of an amino acid is more favorable in its </w:t>
      </w:r>
      <w:proofErr w:type="spellStart"/>
      <w:r w:rsidRPr="00181D1D">
        <w:rPr>
          <w:rFonts w:ascii="Times New Roman" w:hAnsi="Times New Roman"/>
          <w:szCs w:val="24"/>
        </w:rPr>
        <w:t>zwitterionic</w:t>
      </w:r>
      <w:proofErr w:type="spellEnd"/>
      <w:r w:rsidRPr="00181D1D">
        <w:rPr>
          <w:rFonts w:ascii="Times New Roman" w:hAnsi="Times New Roman"/>
          <w:szCs w:val="24"/>
        </w:rPr>
        <w:t xml:space="preserve"> form (</w:t>
      </w:r>
      <w:r w:rsidRPr="00181D1D">
        <w:rPr>
          <w:rFonts w:ascii="Times New Roman" w:hAnsi="Times New Roman"/>
          <w:b/>
          <w:szCs w:val="24"/>
        </w:rPr>
        <w:t>Table 7</w:t>
      </w:r>
      <w:r w:rsidRPr="00181D1D">
        <w:rPr>
          <w:rFonts w:ascii="Times New Roman" w:hAnsi="Times New Roman"/>
          <w:szCs w:val="24"/>
        </w:rPr>
        <w:t>).</w:t>
      </w:r>
      <w:r w:rsidR="00DF70F5" w:rsidRPr="00181D1D">
        <w:rPr>
          <w:rFonts w:ascii="Times New Roman" w:hAnsi="Times New Roman"/>
          <w:szCs w:val="24"/>
        </w:rPr>
        <w:t xml:space="preserve"> </w:t>
      </w:r>
      <w:r w:rsidR="00181D1D" w:rsidRPr="000A0161">
        <w:rPr>
          <w:rFonts w:ascii="Times New Roman" w:eastAsia="Calibri" w:hAnsi="Times New Roman"/>
          <w:szCs w:val="24"/>
        </w:rPr>
        <w:t xml:space="preserve">Although XPS studies of Pro </w:t>
      </w:r>
      <w:r w:rsidR="00181D1D" w:rsidRPr="000A0161">
        <w:rPr>
          <w:rFonts w:ascii="Times New Roman" w:eastAsia="Calibri" w:hAnsi="Times New Roman"/>
          <w:noProof/>
          <w:szCs w:val="24"/>
        </w:rPr>
        <w:t>adsorption on TiO</w:t>
      </w:r>
      <w:r w:rsidR="00181D1D" w:rsidRPr="000A0161">
        <w:rPr>
          <w:rFonts w:ascii="Times New Roman" w:eastAsia="Calibri" w:hAnsi="Times New Roman"/>
          <w:noProof/>
          <w:szCs w:val="24"/>
          <w:vertAlign w:val="subscript"/>
        </w:rPr>
        <w:t>2</w:t>
      </w:r>
      <w:r w:rsidR="00181D1D" w:rsidRPr="009705C8">
        <w:rPr>
          <w:rFonts w:ascii="Times New Roman" w:eastAsia="Calibri" w:hAnsi="Times New Roman"/>
          <w:noProof/>
          <w:szCs w:val="24"/>
        </w:rPr>
        <w:t xml:space="preserve"> </w:t>
      </w:r>
      <w:r w:rsidR="00181D1D" w:rsidRPr="000A0161">
        <w:rPr>
          <w:rFonts w:ascii="Times New Roman" w:eastAsia="Calibri" w:hAnsi="Times New Roman"/>
          <w:noProof/>
          <w:szCs w:val="24"/>
        </w:rPr>
        <w:t>(110),</w:t>
      </w:r>
      <w:r w:rsidR="009705C8">
        <w:rPr>
          <w:rFonts w:ascii="Times New Roman" w:eastAsia="Calibri" w:hAnsi="Times New Roman"/>
          <w:noProof/>
          <w:szCs w:val="24"/>
        </w:rPr>
        <w:fldChar w:fldCharType="begin" w:fldLock="1"/>
      </w:r>
      <w:r w:rsidR="008A2060">
        <w:rPr>
          <w:rFonts w:ascii="Times New Roman" w:eastAsia="Calibri" w:hAnsi="Times New Roman"/>
          <w:noProof/>
          <w:szCs w:val="24"/>
        </w:rPr>
        <w:instrText>ADDIN CSL_CITATION {"citationItems":[{"id":"ITEM-1","itemData":{"DOI":"10.1016/j.susc.2007.06.074","ISBN":"0039-6028","ISSN":"00396028","abstract":"The surface chemistry and binding of dl-proline were investigated on the oxidised (stoichiometric) and reduced (sub-stoichiometric) TiO2(1 1 0) single crystal surfaces. TiO2was chosen as the substrate as it best represents the surface of a biomedical implant, which bio-molecules interact with during the healing of bone/teeth fractures (molecular recognition). High resolution X-ray photoelectron spectroscopy (HR-XPS) studies of the C1s and N1s regions revealed that dl-proline is present in two forms (dissociated and zwitterionic) on the oxidised TiO2surface. On TiO2(1 1 0) surfaces reduced by Ar+sputtering, a significant increase in the amount of zwitterionic proline at the surface was detected when compared with the oxidised surface. Study of the temperature effect showed that in both cases the zwitterionic structure was the less stable structure. The reason for its relative instability appears to be thermodynamic. © 2007 Elsevier B.V. All rights reserved.","author":[{"dropping-particle":"","family":"Fleming","given":"G. J.","non-dropping-particle":"","parse-names":false,"suffix":""},{"dropping-particle":"","family":"Adib","given":"K.","non-dropping-particle":"","parse-names":false,"suffix":""},{"dropping-particle":"","family":"Rodriguez","given":"J. A.","non-dropping-particle":"","parse-names":false,"suffix":""},{"dropping-particle":"","family":"Barteau","given":"M. A.","non-dropping-particle":"","parse-names":false,"suffix":""},{"dropping-particle":"","family":"Idriss","given":"H.","non-dropping-particle":"","parse-names":false,"suffix":""}],"container-title":"Surface Science","id":"ITEM-1","issue":"24","issued":{"date-parts":[["2007"]]},"page":"5726-5731","title":"Proline adsorption on TiO2(1 1 0) single crystal surface: A study by high resolution photoelectron spectroscopy","type":"article-journal","volume":"601"},"uris":["http://www.mendeley.com/documents/?uuid=46616471-60e0-42ad-98ca-4cd9ee0a984f","http://www.mendeley.com/documents/?uuid=082e9050-5dcb-45b6-8451-2d67b91a32ed","http://www.mendeley.com/documents/?uuid=7d3322a5-5ba6-4616-9030-c5d2d7c91384"]}],"mendeley":{"formattedCitation":"&lt;sup&gt;70&lt;/sup&gt;","plainTextFormattedCitation":"70","previouslyFormattedCitation":"&lt;sup&gt;70&lt;/sup&gt;"},"properties":{"noteIndex":0},"schema":"https://github.com/citation-style-language/schema/raw/master/csl-citation.json"}</w:instrText>
      </w:r>
      <w:r w:rsidR="009705C8">
        <w:rPr>
          <w:rFonts w:ascii="Times New Roman" w:eastAsia="Calibri" w:hAnsi="Times New Roman"/>
          <w:noProof/>
          <w:szCs w:val="24"/>
        </w:rPr>
        <w:fldChar w:fldCharType="separate"/>
      </w:r>
      <w:r w:rsidR="009705C8" w:rsidRPr="009705C8">
        <w:rPr>
          <w:rFonts w:ascii="Times New Roman" w:eastAsia="Calibri" w:hAnsi="Times New Roman"/>
          <w:noProof/>
          <w:szCs w:val="24"/>
          <w:vertAlign w:val="superscript"/>
        </w:rPr>
        <w:t>70</w:t>
      </w:r>
      <w:r w:rsidR="009705C8">
        <w:rPr>
          <w:rFonts w:ascii="Times New Roman" w:eastAsia="Calibri" w:hAnsi="Times New Roman"/>
          <w:noProof/>
          <w:szCs w:val="24"/>
        </w:rPr>
        <w:fldChar w:fldCharType="end"/>
      </w:r>
      <w:r w:rsidR="00181D1D" w:rsidRPr="000A0161">
        <w:rPr>
          <w:rFonts w:ascii="Times New Roman" w:eastAsia="Calibri" w:hAnsi="Times New Roman"/>
          <w:szCs w:val="24"/>
        </w:rPr>
        <w:t xml:space="preserve"> </w:t>
      </w:r>
      <w:r w:rsidR="000A0161" w:rsidRPr="00400A92">
        <w:rPr>
          <w:rFonts w:ascii="Times New Roman" w:eastAsia="Calibri" w:hAnsi="Times New Roman"/>
          <w:i/>
          <w:noProof/>
          <w:szCs w:val="24"/>
        </w:rPr>
        <w:t>a</w:t>
      </w:r>
      <w:r w:rsidR="00181D1D" w:rsidRPr="00400A92">
        <w:rPr>
          <w:rFonts w:ascii="Times New Roman" w:eastAsia="Calibri" w:hAnsi="Times New Roman"/>
          <w:i/>
          <w:noProof/>
          <w:szCs w:val="24"/>
        </w:rPr>
        <w:t>b</w:t>
      </w:r>
      <w:r w:rsidR="00181D1D" w:rsidRPr="000A0161">
        <w:rPr>
          <w:rFonts w:ascii="Times New Roman" w:eastAsia="Calibri" w:hAnsi="Times New Roman"/>
          <w:i/>
          <w:szCs w:val="24"/>
        </w:rPr>
        <w:t xml:space="preserve"> </w:t>
      </w:r>
      <w:r w:rsidR="00181D1D" w:rsidRPr="00400A92">
        <w:rPr>
          <w:rFonts w:ascii="Times New Roman" w:eastAsia="Calibri" w:hAnsi="Times New Roman"/>
          <w:i/>
          <w:noProof/>
          <w:szCs w:val="24"/>
        </w:rPr>
        <w:t>inito</w:t>
      </w:r>
      <w:r w:rsidR="00181D1D" w:rsidRPr="000A0161">
        <w:rPr>
          <w:rFonts w:ascii="Times New Roman" w:eastAsia="Calibri" w:hAnsi="Times New Roman"/>
          <w:szCs w:val="24"/>
        </w:rPr>
        <w:t xml:space="preserve"> study of the </w:t>
      </w:r>
      <w:proofErr w:type="spellStart"/>
      <w:r w:rsidR="00181D1D" w:rsidRPr="000A0161">
        <w:rPr>
          <w:rFonts w:ascii="Times New Roman" w:eastAsia="Calibri" w:hAnsi="Times New Roman"/>
          <w:szCs w:val="24"/>
        </w:rPr>
        <w:t>Gly</w:t>
      </w:r>
      <w:proofErr w:type="spellEnd"/>
      <w:r w:rsidR="00181D1D" w:rsidRPr="000A0161">
        <w:rPr>
          <w:rFonts w:ascii="Times New Roman" w:eastAsia="Calibri" w:hAnsi="Times New Roman"/>
          <w:szCs w:val="24"/>
        </w:rPr>
        <w:t xml:space="preserve"> on the anatase (101),</w:t>
      </w:r>
      <w:r w:rsidR="00BE2A66">
        <w:rPr>
          <w:rFonts w:ascii="Times New Roman" w:eastAsia="Calibri" w:hAnsi="Times New Roman"/>
          <w:szCs w:val="24"/>
        </w:rPr>
        <w:fldChar w:fldCharType="begin" w:fldLock="1"/>
      </w:r>
      <w:r w:rsidR="00773999">
        <w:rPr>
          <w:rFonts w:ascii="Times New Roman" w:eastAsia="Calibri" w:hAnsi="Times New Roman"/>
          <w:szCs w:val="24"/>
        </w:rPr>
        <w:instrText>ADDIN CSL_CITATION {"citationItems":[{"id":"ITEM-1","itemData":{"DOI":"10.1039/c004155f","ISBN":"1463-9076","ISSN":"14639076","PMID":"20668740","abstract":"The adsorption of glycine on a clean anatase (101) surface was studied by first principles calculations. Glycine was found to bind to the surface in an undissociated form, utilizing both the carboxyl and the amino groups for the binding. The adsorption energy was found to be -23.0 kcal mol(-1). Two other configurations were found to be only slightly (by 0.6 and 1.1 kcal mol(-1)) less stable, one binding only through the lone pair of the amino group, the other adopting a dissociated binding mode. The conformational strain of glycine was found to have a significant effect on the adsorption energy. The adsorption properties of the amino and carboxyl functional groups of glycine were compared to those of ammonia and formic acid. While the amino group shows a similar binding energy to that of ammonia, the carboxyl group of glycine is able to create stronger binding to the anatase surface than formic acid.","author":[{"dropping-particle":"","family":"Szieberth","given":"Dénes","non-dropping-particle":"","parse-names":false,"suffix":""},{"dropping-particle":"","family":"Maria Ferrari","given":"Anna","non-dropping-particle":"","parse-names":false,"suffix":""},{"dropping-particle":"","family":"Dong","given":"Xin","non-dropping-particle":"","parse-names":false,"suffix":""}],"container-title":"Physical Chemistry Chemical Physics","id":"ITEM-1","issued":{"date-parts":[["2010"]]},"title":"Adsorption of glycine on the anatase (101) surface: An ab initio study","type":"article-journal"},"uris":["http://www.mendeley.com/documents/?uuid=3e657e06-74cb-492d-a4d8-2f354c654a8c"]}],"mendeley":{"formattedCitation":"&lt;sup&gt;71&lt;/sup&gt;","plainTextFormattedCitation":"71","previouslyFormattedCitation":"&lt;sup&gt;71&lt;/sup&gt;"},"properties":{"noteIndex":0},"schema":"https://github.com/citation-style-language/schema/raw/master/csl-citation.json"}</w:instrText>
      </w:r>
      <w:r w:rsidR="00BE2A66">
        <w:rPr>
          <w:rFonts w:ascii="Times New Roman" w:eastAsia="Calibri" w:hAnsi="Times New Roman"/>
          <w:szCs w:val="24"/>
        </w:rPr>
        <w:fldChar w:fldCharType="separate"/>
      </w:r>
      <w:r w:rsidR="00BE2A66" w:rsidRPr="00BE2A66">
        <w:rPr>
          <w:rFonts w:ascii="Times New Roman" w:eastAsia="Calibri" w:hAnsi="Times New Roman"/>
          <w:noProof/>
          <w:szCs w:val="24"/>
          <w:vertAlign w:val="superscript"/>
        </w:rPr>
        <w:t>71</w:t>
      </w:r>
      <w:r w:rsidR="00BE2A66">
        <w:rPr>
          <w:rFonts w:ascii="Times New Roman" w:eastAsia="Calibri" w:hAnsi="Times New Roman"/>
          <w:szCs w:val="24"/>
        </w:rPr>
        <w:fldChar w:fldCharType="end"/>
      </w:r>
      <w:r w:rsidR="00181D1D" w:rsidRPr="000A0161">
        <w:rPr>
          <w:rFonts w:ascii="Times New Roman" w:eastAsia="Calibri" w:hAnsi="Times New Roman"/>
          <w:szCs w:val="24"/>
        </w:rPr>
        <w:t xml:space="preserve"> and computational study of </w:t>
      </w:r>
      <w:r w:rsidR="00181D1D" w:rsidRPr="00400A92">
        <w:rPr>
          <w:rFonts w:ascii="Times New Roman" w:eastAsia="Calibri" w:hAnsi="Times New Roman"/>
          <w:noProof/>
          <w:szCs w:val="24"/>
        </w:rPr>
        <w:t>Cys</w:t>
      </w:r>
      <w:r w:rsidR="00181D1D" w:rsidRPr="000A0161">
        <w:rPr>
          <w:rFonts w:ascii="Times New Roman" w:eastAsia="Calibri" w:hAnsi="Times New Roman"/>
          <w:szCs w:val="24"/>
        </w:rPr>
        <w:t xml:space="preserve"> adsorption to </w:t>
      </w:r>
      <w:r w:rsidR="003D31CB" w:rsidRPr="000A0161">
        <w:rPr>
          <w:rFonts w:ascii="Times New Roman" w:eastAsia="Calibri" w:hAnsi="Times New Roman"/>
          <w:szCs w:val="24"/>
        </w:rPr>
        <w:t>rutile</w:t>
      </w:r>
      <w:r w:rsidR="00181D1D" w:rsidRPr="000A0161">
        <w:rPr>
          <w:rFonts w:ascii="Times New Roman" w:eastAsia="Calibri" w:hAnsi="Times New Roman"/>
          <w:szCs w:val="24"/>
        </w:rPr>
        <w:t xml:space="preserve"> (110)</w:t>
      </w:r>
      <w:r w:rsidR="00BE2A66">
        <w:rPr>
          <w:rFonts w:ascii="Times New Roman" w:eastAsia="Calibri" w:hAnsi="Times New Roman"/>
          <w:szCs w:val="24"/>
        </w:rPr>
        <w:fldChar w:fldCharType="begin" w:fldLock="1"/>
      </w:r>
      <w:r w:rsidR="00773999">
        <w:rPr>
          <w:rFonts w:ascii="Times New Roman" w:eastAsia="Calibri" w:hAnsi="Times New Roman"/>
          <w:szCs w:val="24"/>
        </w:rPr>
        <w:instrText>ADDIN CSL_CITATION {"citationItems":[{"id":"ITEM-1","itemData":{"DOI":"10.1016/j.susc.2013.07.009","ISBN":"0039-6028","ISSN":"00396028","abstract":"The nature of interaction of the amino acid cysteine (HS-CH2CH(NH2)COOH), as a model multifunctional group amino acid, was studied theoretically on a rutile TiO2(110) surface using the DFT method. A large number of adsorption modes were investigated through the three functional groups: the carboxyl (COOH), thiol (SH) and amino (NH2) groups. Two main stable forms of adsorption via the carboxyl group were found: bridging (O, O) (with adsorption energies, Eabetween 1.1 and 1.5 eV) and (O, N) (Ea= 1.4 eV). The bridging (O, O) adsorption mode had zwitterionic forms (with the H atom of the SH transferred to the NH2group making S-and NH3+) which were nearly isoenergetic with the dissociated form (Ea= 1.35 eV). The mono-dentate carboxyl adsorption mode had no stable zwitterionic forms. The thiol and amino groups of cysteine affect bonding by creating hydrogen bonds to the surface. These cause small changes of the adsorption energy (up to 0.4 eV); they also modify the ordering of the last six (lone pair) orbitals of cysteine which in turn affect its nature as a hole acceptor. © 2013 Elsevier B.V.","author":[{"dropping-particle":"","family":"Muir","given":"J. M.R.","non-dropping-particle":"","parse-names":false,"suffix":""},{"dropping-particle":"","family":"Idriss","given":"H.","non-dropping-particle":"","parse-names":false,"suffix":""}],"container-title":"Surface Science","id":"ITEM-1","issued":{"date-parts":[["2013"]]},"title":"Computational study of cysteine interaction with the rutile TiO2(110) surface","type":"article-journal"},"uris":["http://www.mendeley.com/documents/?uuid=cba00592-6ade-4b38-be67-cb02ef2f52cc"]}],"mendeley":{"formattedCitation":"&lt;sup&gt;72&lt;/sup&gt;","plainTextFormattedCitation":"72","previouslyFormattedCitation":"&lt;sup&gt;72&lt;/sup&gt;"},"properties":{"noteIndex":0},"schema":"https://github.com/citation-style-language/schema/raw/master/csl-citation.json"}</w:instrText>
      </w:r>
      <w:r w:rsidR="00BE2A66">
        <w:rPr>
          <w:rFonts w:ascii="Times New Roman" w:eastAsia="Calibri" w:hAnsi="Times New Roman"/>
          <w:szCs w:val="24"/>
        </w:rPr>
        <w:fldChar w:fldCharType="separate"/>
      </w:r>
      <w:r w:rsidR="00BE2A66" w:rsidRPr="00BE2A66">
        <w:rPr>
          <w:rFonts w:ascii="Times New Roman" w:eastAsia="Calibri" w:hAnsi="Times New Roman"/>
          <w:noProof/>
          <w:szCs w:val="24"/>
          <w:vertAlign w:val="superscript"/>
        </w:rPr>
        <w:t>72</w:t>
      </w:r>
      <w:r w:rsidR="00BE2A66">
        <w:rPr>
          <w:rFonts w:ascii="Times New Roman" w:eastAsia="Calibri" w:hAnsi="Times New Roman"/>
          <w:szCs w:val="24"/>
        </w:rPr>
        <w:fldChar w:fldCharType="end"/>
      </w:r>
      <w:r w:rsidR="00181D1D" w:rsidRPr="000A0161">
        <w:rPr>
          <w:rFonts w:ascii="Times New Roman" w:eastAsia="Calibri" w:hAnsi="Times New Roman"/>
          <w:szCs w:val="24"/>
        </w:rPr>
        <w:t xml:space="preserve"> concluded that zwitterions are less stable at surface than neutral structures, maj</w:t>
      </w:r>
      <w:r w:rsidR="006908C3">
        <w:rPr>
          <w:rFonts w:ascii="Times New Roman" w:eastAsia="Calibri" w:hAnsi="Times New Roman"/>
          <w:szCs w:val="24"/>
        </w:rPr>
        <w:t xml:space="preserve">ority of the reports considers </w:t>
      </w:r>
      <w:r w:rsidR="00181D1D" w:rsidRPr="000A0161">
        <w:rPr>
          <w:rFonts w:ascii="Times New Roman" w:eastAsia="Calibri" w:hAnsi="Times New Roman"/>
          <w:szCs w:val="24"/>
        </w:rPr>
        <w:t>amino acid adsorbed species as zwitterions. Predominant adsorption mode of the amino acid zwitterion on TiO</w:t>
      </w:r>
      <w:r w:rsidR="00181D1D" w:rsidRPr="000A0161">
        <w:rPr>
          <w:rFonts w:ascii="Times New Roman" w:eastAsia="Calibri" w:hAnsi="Times New Roman"/>
          <w:szCs w:val="24"/>
          <w:vertAlign w:val="subscript"/>
        </w:rPr>
        <w:t xml:space="preserve">2 </w:t>
      </w:r>
      <w:r w:rsidR="00181D1D" w:rsidRPr="000A0161">
        <w:rPr>
          <w:rFonts w:ascii="Times New Roman" w:eastAsia="Calibri" w:hAnsi="Times New Roman"/>
          <w:szCs w:val="24"/>
        </w:rPr>
        <w:t>surface is yet under discussion and varies depending on the conditions and method applied. Some reports suggest amino acid undergo ligand exchange or stabilization at Ti-atom via carboxylic group,</w:t>
      </w:r>
      <w:r w:rsidR="00BE2A66">
        <w:rPr>
          <w:rFonts w:ascii="Times New Roman" w:eastAsia="Calibri" w:hAnsi="Times New Roman"/>
          <w:szCs w:val="24"/>
        </w:rPr>
        <w:fldChar w:fldCharType="begin" w:fldLock="1"/>
      </w:r>
      <w:r w:rsidR="00773999">
        <w:rPr>
          <w:rFonts w:ascii="Times New Roman" w:eastAsia="Calibri" w:hAnsi="Times New Roman"/>
          <w:szCs w:val="24"/>
        </w:rPr>
        <w:instrText>ADDIN CSL_CITATION {"citationItems":[{"id":"ITEM-1","itemData":{"DOI":"10.1002/cctc.201300164","ISBN":"1867-3880","ISSN":"18673880","author":[{"dropping-particle":"","family":"Deiana","given":"Chiara","non-dropping-particle":"","parse-names":false,"suffix":""},{"dropping-particle":"","family":"Sakhno","given":"Yuriy","non-dropping-particle":"","parse-names":false,"suffix":""},{"dropping-particle":"","family":"Fabbiani","given":"Marco","non-dropping-particle":"","parse-names":false,"suffix":""},{"dropping-particle":"","family":"Pazzi","given":"Marco","non-dropping-particle":"","parse-names":false,"suffix":""},{"dropping-particle":"","family":"Vincenti","given":"Marco","non-dropping-particle":"","parse-names":false,"suffix":""},{"dropping-particle":"","family":"Martra","given":"Gianmario","non-dropping-particle":"","parse-names":false,"suffix":""}],"container-title":"ChemCatChem","id":"ITEM-1","issued":{"date-parts":[["2013"]]},"title":"Direct synthesis of amides from carboxylic acids and amines by using heterogeneous catalysts: Evidence of surface carboxylates as activated electrophilic species","type":"article-journal"},"uris":["http://www.mendeley.com/documents/?uuid=04ef9d6b-62c6-41bb-8c87-7c9a8a0ed2bd"]},{"id":"ITEM-2","itemData":{"DOI":"10.1002/cphc.200900902","ISBN":"1439-4235","ISSN":"14394235","PMID":"20301172","abstract":"The optimal adsorption modes for the amino acids glycine and proline on the ideal TiO(2)(110) surface are investigated by using density functional theory (PBE) applying periodic boundary conditions. Binding modes with anionic acid moieties bridging two titanium atoms after transferring a proton to the surface are the most stable configurations for both molecules investigated-similar to previous results for carboxylic acids. In contrast to the latter compounds, amino acids can form hydrogen bonds via the amino group towards the surface-bound proton; this provides an additional stabilisation of 15-20 kJ mol(-1). Zwitterionic binding modes are less stable (by 10-20 kJ mol(-1)) and are less important for proline. Neutral modes are energetically even less favourable. Calculations of vibrational frequencies and core-level shifts complement the adsorption study and provide guidance for future experimental investigations. Control of the computational parameters is crucial for the derivation of accurate results. The layout and thickness of the slab model used are also shown to be decisive factors. Calculations with a different GGA-functional (PW91) provide very similar relative energies, although the absolute energies change by about 20 kJ mol(-1). Results derived with the hybrid functional PBE0 show an even greater stabilisation of the anionic binding modes with respect to the zwitterionic modes. A previously observed discrepancy between experimental and theoretical results for glycine could be solved, although the experimentally proposed free rotation of the C-C bond could not be reproduced.","author":[{"dropping-particle":"","family":"Tonner","given":"Ralf","non-dropping-particle":"","parse-names":false,"suffix":""}],"container-title":"ChemPhysChem","id":"ITEM-2","issued":{"date-parts":[["2010"]]},"title":"Adsorption of proline and glycine on the TiO2(110) surface: A density functional theory study","type":"article-journal"},"uris":["http://www.mendeley.com/documents/?uuid=9268be6c-5350-4d50-8a41-7c33483d2dc7"]},{"id":"ITEM-3","itemData":{"DOI":"10.1016/j.susc.2008.04.010","ISBN":"0039-6028","ISSN":"00396028","abstract":"The reaction of the amino acid dl-proline is studied over stoichiometric and Ar-ions sputtered (reduced) TiO2(1 1 0) single crystal surfaces by synchrotron High Resolution X-ray Photoelectron Spectroscopy (HRXPS). On the stoichiometric surface proline gives two different species at 300 K: dissociated and zwitterionic. Upon heating the zwitterionic structure is removed first from the surface followed by the dissociated form. The C1s signal for the COO function is found close to 288.5 eV for both forms while the N 1s for the dissociated form is found at 400.0 eV and that of the zwitterionic from close to 401.8 eV. From the attenuation of the Ti 2p signal the surface coverage was estimated less than 1/2 (about 0.35). This smaller coverage than dissociatively adsorbed carboxylic acids on this surface (usually close to 1/2), is attributed to lateral repulsion caused by the ring of adjacent proline molecules adsorbed on five-fold coordinated Ti cations along the [0 0 1] direction. On the reduced surface the amount of zwitterion structure is found two times higher than that on the stoichiometric surface, at 300 K, most likely due to the considerable decrease of the amount of surface oxygen available. The stability of the zwitterionic structure on this surface is however found similar to that found on the stoichiometric surface. In addition, evidence of oxidation of reduced Ti cations upon adsorption at 300 K is noticed and explained as breaking of the carbon-oxygen bond of a fraction of adsorbed proline. Variable temperature HRXPS has been collected and results indicated that proline is more stable on the reduced surface compared to the stoichiometric surface. © 2008 Elsevier B.V. All rights reserved.","author":[{"dropping-particle":"","family":"Fleming","given":"G. J.","non-dropping-particle":"","parse-names":false,"suffix":""},{"dropping-particle":"","family":"Adib","given":"K.","non-dropping-particle":"","parse-names":false,"suffix":""},{"dropping-particle":"","family":"Rodriguez","given":"J. A.","non-dropping-particle":"","parse-names":false,"suffix":""},{"dropping-particle":"","family":"Barteau","given":"M. A.","non-dropping-particle":"","parse-names":false,"suffix":""},{"dropping-particle":"","family":"White","given":"J. M.","non-dropping-particle":"","parse-names":false,"suffix":""},{"dropping-particle":"","family":"Idriss","given":"H.","non-dropping-particle":"","parse-names":false,"suffix":""}],"container-title":"Surface Science","id":"ITEM-3","issued":{"date-parts":[["2008"]]},"title":"The adsorption and reactions of the amino acid proline on rutile TiO2(1 1 0) surfaces","type":"article-journal"},"uris":["http://www.mendeley.com/documents/?uuid=7b2f7389-465d-4534-8b99-f4e89b2ed0a5"]},{"id":"ITEM-4","itemData":{"DOI":"10.1016/j.jcis.2006.07.053","ISBN":"0021-9797 (Print)\\r0021-9797 (Linking)","ISSN":"00219797","PMID":"16919666","abstract":"The adsorption of glycine (NH2CH2COOH) was examined by scanning tunneling microscopy (STM) on TiO2(110) surfaces at room temperature. A (2 × 1) ordered overlayer was observed on the TiO2(110)-(1 × 1) surface. The adsorption of acetic acid and propanoic acid was also investigated on this surface and their STM images were quite similar to that of glycine. Since acetate and propanoate are formed by dissociative adsorption of these acids on TiO2(110), it is proposed that glycine adsorbs in the same way to form a glycinate. The amino group in the glycinate adlayer structurally analogous to those formed from aliphatic carboxylic acids would be extended away from the surface and potentially free to participate in additional reactions. The underlying structure of the TiO2surface is important in determining the structure of the glycinate adlayer; no ordering of these adsorbates was observed on the TiO2(110)-(1 × 2) surface. © 2006 Elsevier Inc. All rights reserved.","author":[{"dropping-particle":"","family":"Qiu","given":"Tingzhu Z.","non-dropping-particle":"","parse-names":false,"suffix":""},{"dropping-particle":"","family":"Barteau","given":"Mark A.","non-dropping-particle":"","parse-names":false,"suffix":""}],"container-title":"Journal of Colloid and Interface Science","id":"ITEM-4","issued":{"date-parts":[["2006"]]},"title":"STM study of glycine on TiO2(110) single crystal surfaces","type":"article-journal"},"uris":["http://www.mendeley.com/documents/?uuid=0d03bd67-9c9c-4ed6-b0b8-6375f331dd8e"]},{"id":"ITEM-5","itemData":{"DOI":"10.1016/j.jcis.2005.08.037","ISBN":"0021-9797","ISSN":"00219797","PMID":"16165144","abstract":"Nanocrystalline TiO2powders of the rutile polymorph, synthesized by a sol-gel method, were treated with water solutions containing, respectively, formic, acetic, and citric acid and glycine in order to study the adsorption properties of these organic species. The samples were characterized by FTIR, Raman, powder XRD, and TEM. It was found that HCOOH, CH3COOH and HOC(COOH)(CH2COOH)2- but not NH2CH2COOH - adsorbed onto TiO2. The adsorption of HCOOH, CH3COOH and NH2CH2COOH onto the (110) surface of rutile was also studied by quantum-chemical periodic density functional theory (DFT) calculations. The organic molecules were from the computations found to adsorb strongly to the surfaces in a bridge-coordinating mode, where the two oxygens of the deprotonated carboxylic acid bind to two surface titanium ions. Surface relaxation is found to influence adsorption geometries and energies significantly. The results from DFT calculations and ab initio molecular-dynamics simulations of formic acid adsorption onto TiO2are compared and match well with the experimental IR measurements, supporting the bridge-binding geometry of carboxylic-acid adsorption on the TiO2nanoparticles. © 2005 Elsevier Inc. All rights reserved.","author":[{"dropping-particle":"","family":"Ojamäe","given":"Lars","non-dropping-particle":"","parse-names":false,"suffix":""},{"dropping-particle":"","family":"Aulin","given":"Christian","non-dropping-particle":"","parse-names":false,"suffix":""},{"dropping-particle":"","family":"Pedersen","given":"Henrik","non-dropping-particle":"","parse-names":false,"suffix":""},{"dropping-particle":"","family":"Käll","given":"Per Olov","non-dropping-particle":"","parse-names":false,"suffix":""}],"container-title":"Journal of Colloid and Interface Science","id":"ITEM-5","issued":{"date-parts":[["2006"]]},"title":"IR and quantum-chemical studies of carboxylic acid and glycine adsorption on rutile TiO2nanoparticles","type":"article-journal"},"uris":["http://www.mendeley.com/documents/?uuid=690dfc2b-2eb3-48fe-950c-b268c5a6d916"]},{"id":"ITEM-6","itemData":{"DOI":"10.1186/s11671-016-1493-7","ISSN":"19317573 (ISSN)","abstract":"SnO2 nanosheet-structured films were prepared on a fluorine-doped tin oxide (FTO) substrate using ZnO nanosheet as template. The as-prepared SnO2 nanosheets contained plenty of nano-voids and were generally vertical to the substrate. TiO2 nanoparticles were homogeneously deposited into the intervals between the SnO2 nanosheets to prepare a hierarchically structured SnO2/TiO2 hybrid film. The hybrid films were co-sensitized with CdS and CdSe quantum dots. The sensitized solar cells assembled with the SnO2/TiO2 hybrid film showed much higher photoelectricity conversion efficiency than the cells assembled with pure TiO2 films. The lifetime of photoinduced electron was also investigated through electrochemical impedance spectroscopy, which showed that the SnO2/TiO2 hybrid film electrode is as long as the TiO2 film electrode. © 2016, The Author(s).","author":[{"dropping-particle":"","family":"Chen","given":"Z","non-dropping-particle":"","parse-names":false,"suffix":""},{"dropping-particle":"","family":"Wei","given":"C","non-dropping-particle":"","parse-names":false,"suffix":""},{"dropping-particle":"","family":"Li","given":"S","non-dropping-particle":"","parse-names":false,"suffix":""},{"dropping-particle":"","family":"Diao","given":"C","non-dropping-particle":"","parse-names":false,"suffix":""},{"dropping-particle":"","family":"Li","given":"W","non-dropping-particle":"","parse-names":false,"suffix":""},{"dropping-particle":"","family":"Kong","given":"W","non-dropping-particle":"","parse-names":false,"suffix":""},{"dropping-particle":"","family":"Zhang","given":"Z","non-dropping-particle":"","parse-names":false,"suffix":""},{"dropping-particle":"","family":"Zhang","given":"W","non-dropping-particle":"","parse-names":false,"suffix":""}],"container-title":"Nanoscale Research Letters","id":"ITEM-6","issue":"1","issued":{"date-parts":[["2016"]]},"publisher":"Nanoscale Research Letters","title":"CdS/CdSe Co-sensitized Solar Cells Based on Hierarchically Structured SnO2/TiO2 Hybrid Films","type":"article-journal","volume":"11"},"uris":["http://www.mendeley.com/documents/?uuid=8afeddab-a81f-45a5-891b-79790d7ea7e3"]},{"id":"ITEM-7","itemData":{"DOI":"10.1016/j.vibspec.2008.07.014","ISSN":"09242031","abstract":"Sum frequency generation vibrational spectroscopy (SFG) is a powerful tool for in situ investigation of adsorption processes at biologically important solid-liquid interfaces. In this work adsorption of different amino acids was investigated by SFG at the titanium-dioxide-amino acid solution interface. While both naturally occurring acidic amino acids, aspartic acid and glutamic acid, were found to form an ordered adsorbate layer, amino acids with non-acidic side chains exhibited little affinity towards TiO2. A detailed study of aspartic acid on TiO2 pointed out that both carboxylic groups of the molecule are coordinated to the surface; data taken in the carboxyl stretching frequency range revealed that one of them is bonded monodentally to a surface Ti ion, while the other is most probably stabilized by a hydrogen bond. The results indicate that the acidic side chain is the prerequisite of the formation of a stable, ordered amino acid adsorbate layer on TiO2. © 2008 Elsevier B.V. All rights reserved.","author":[{"dropping-particle":"","family":"Pászti","given":"Z.","non-dropping-particle":"","parse-names":false,"suffix":""},{"dropping-particle":"","family":"Guczi","given":"L.","non-dropping-particle":"","parse-names":false,"suffix":""}],"container-title":"Vibrational Spectroscopy","id":"ITEM-7","issue":"1","issued":{"date-parts":[["2009"]]},"page":"48-56","title":"Amino acid adsorption on hydrophilic TiO2: A sum frequency generation vibrational spectroscopy study","type":"article-journal","volume":"50"},"uris":["http://www.mendeley.com/documents/?uuid=8e0ce918-1e74-4338-aea7-0918f3702c44"]},{"id":"ITEM-8","itemData":{"abstract":"Adsorption of amino acids from aqueous solutions on TiO2 surfaces as a function o f p H is monitored quantitatively by X-ray photoelectron spectroscopy (XPS). Because of the amphoteric character of the TiO2 and the \"zwitterionic\" behaviour of the amino acids the pH of adsorption indicates what chemical groups are involved in the adsorption reaction. The results confirm the ligand ex-change model: in acidic milieu the carboxylic group replaces a basic surface hydroxyl group on a Ti site and binds to this Ti. For homocysteine the resulting position of the adsorbed molecule can also be concluded by comparing peak in-tensities.","author":[{"dropping-particle":"","family":"Schmidt","given":"Martin","non-dropping-particle":"","parse-names":false,"suffix":""},{"dropping-particle":"","family":"Steinemann","given":"Samuel G","non-dropping-particle":"","parse-names":false,"suffix":""}],"container-title":"Fresenius J Anal Chem","id":"ITEM-8","issued":{"date-parts":[["1991"]]},"page":"412-415","title":"XPS studies of amino acids adsorbed on titanium dioxide surfaces","type":"article-journal","volume":"341"},"uris":["http://www.mendeley.com/documents/?uuid=e1717442-2e0e-4d59-8b68-c6d7abf26ec7"]},{"id":"ITEM-9","itemData":{"DOI":"10.1016/j.susc.2010.10.017","ISBN":"0039-6028","ISSN":"00396028","PMID":"21806065","abstract":"We have used X-ray photoelectron spectroscopy to study the adsorption of L-cysteine on a rutile TiO2(110) surface at room temperature and - 65 °C. For the molecules in direct contact with the surface our results suggest that the molecules bind dissociatively to the fivefold-coordinated Ti atoms of the surface through their deprotonated carboxylic groups. A second, dissociative interaction occurs between the molecular thiol groups and the surface. It is attributed to a dissociative bond to the bridging oxygen vacancies. Most likely, the thiol groups are deprotonated and a bond is formed between the thiolates and defects. In an alternative scenario, the C-S bond is cleaved and atomic sulfur binds to the defects. With regard to the molecular amino groups, they remain neutral at the lowest investigated coverages (0.3-0.5 ML), but already starting from around 0.7 ML nominal coverage protons are being transferred to them. The fraction of protonated amino groups increases with coverage and becomes dominating in multilayers prepared at room temperature and - 65 °C. In these multilayers the carboxylic groups are deprotonated. © 2010 Elsevier B.V. All rights reserved.","author":[{"dropping-particle":"","family":"Ataman","given":"Evren","non-dropping-particle":"","parse-names":false,"suffix":""},{"dropping-particle":"","family":"Isvoranu","given":"Cristina","non-dropping-particle":"","parse-names":false,"suffix":""},{"dropping-particle":"","family":"Knudsen","given":"Jan","non-dropping-particle":"","parse-names":false,"suffix":""},{"dropping-particle":"","family":"Schulte","given":"Karina","non-dropping-particle":"","parse-names":false,"suffix":""},{"dropping-particle":"","family":"Andersen","given":"Jesper N.","non-dropping-particle":"","parse-names":false,"suffix":""},{"dropping-particle":"","family":"Schnadt","given":"Joachim","non-dropping-particle":"","parse-names":false,"suffix":""}],"container-title":"Surface Science","id":"ITEM-9","issue":"1-2","issued":{"date-parts":[["2011"]]},"page":"179-186","title":"Adsorption of L-cysteine on rutile TiO2(110)","type":"article-journal","volume":"605"},"uris":["http://www.mendeley.com/documents/?uuid=9df6381e-3598-4a54-b940-54c4d5d6dc5a"]},{"id":"ITEM-10","itemData":{"DOI":"10.1006/jcis.2000.6864","ISBN":"0021-9797","ISSN":"00219797","PMID":"10860593","abstract":"In situ ATR-IR spectroscopy has been applied to the study of glutamic (Glu) and aspartic (Asp) acid adsorbed on amorphous TiO2particle films. Unlike Asp, which gives evidence of one major adsorbed species, Glu yields several spectroscopically distinct structures upon adsorption to TiO2. The pH dependence of Glu and Asp adsorption is also different, with Glu adsorbing markedly to TiO2at pH where electrostatic interactions between the surface and adsorbate are unfavorable. Application of the Langmuir model to adsorption isotherms yields a single binding constant for Asp and two binding constants for Glu, further supporting the evidence for different adsorbed Glu species. This is the first investigation of the molecular structure of Glu and Asp species adsorbed on amorphous TiO2using in situ ATR-IR spectroscopy. (C) 2000 Academic Press.","author":[{"dropping-particle":"","family":"Roddick-Lanzilotta","given":"Alisa D.","non-dropping-particle":"","parse-names":false,"suffix":""},{"dropping-particle":"","family":"McQuillan","given":"A. James","non-dropping-particle":"","parse-names":false,"suffix":""}],"container-title":"Journal of Colloid and Interface Science","id":"ITEM-10","issue":"1","issued":{"date-parts":[["2000"]]},"page":"48-54","title":"An in situ infrared spectroscopic study of glutamic acid and of aspartic acid adsorbed on TiO2: Implications for the biocompatibility of titanium","type":"article-journal","volume":"227"},"uris":["http://www.mendeley.com/documents/?uuid=b7aa589e-c448-41fc-9431-57d4c37dff4f"]}],"mendeley":{"formattedCitation":"&lt;sup&gt;17–20,73–78&lt;/sup&gt;","plainTextFormattedCitation":"17–20,73–78","previouslyFormattedCitation":"&lt;sup&gt;17–20,73–78&lt;/sup&gt;"},"properties":{"noteIndex":0},"schema":"https://github.com/citation-style-language/schema/raw/master/csl-citation.json"}</w:instrText>
      </w:r>
      <w:r w:rsidR="00BE2A66">
        <w:rPr>
          <w:rFonts w:ascii="Times New Roman" w:eastAsia="Calibri" w:hAnsi="Times New Roman"/>
          <w:szCs w:val="24"/>
        </w:rPr>
        <w:fldChar w:fldCharType="separate"/>
      </w:r>
      <w:r w:rsidR="00BE2A66" w:rsidRPr="00BE2A66">
        <w:rPr>
          <w:rFonts w:ascii="Times New Roman" w:eastAsia="Calibri" w:hAnsi="Times New Roman"/>
          <w:noProof/>
          <w:szCs w:val="24"/>
          <w:vertAlign w:val="superscript"/>
        </w:rPr>
        <w:t>17–20,73–78</w:t>
      </w:r>
      <w:r w:rsidR="00BE2A66">
        <w:rPr>
          <w:rFonts w:ascii="Times New Roman" w:eastAsia="Calibri" w:hAnsi="Times New Roman"/>
          <w:szCs w:val="24"/>
        </w:rPr>
        <w:fldChar w:fldCharType="end"/>
      </w:r>
      <w:r w:rsidR="00181D1D" w:rsidRPr="000A0161">
        <w:rPr>
          <w:rFonts w:ascii="Times New Roman" w:eastAsia="Calibri" w:hAnsi="Times New Roman"/>
          <w:szCs w:val="24"/>
        </w:rPr>
        <w:t xml:space="preserve"> others describe mixed adsorption modes </w:t>
      </w:r>
      <w:r w:rsidR="00181D1D" w:rsidRPr="000A0161">
        <w:rPr>
          <w:rFonts w:ascii="Times New Roman" w:eastAsia="Calibri" w:hAnsi="Times New Roman"/>
          <w:szCs w:val="24"/>
        </w:rPr>
        <w:lastRenderedPageBreak/>
        <w:t>involving side chain groups</w:t>
      </w:r>
      <w:r w:rsidR="00A04837">
        <w:rPr>
          <w:rFonts w:ascii="Times New Roman" w:eastAsia="Calibri" w:hAnsi="Times New Roman"/>
          <w:szCs w:val="24"/>
        </w:rPr>
        <w:t>.</w:t>
      </w:r>
      <w:r w:rsidR="00A04837">
        <w:rPr>
          <w:rFonts w:ascii="Times New Roman" w:eastAsia="Calibri" w:hAnsi="Times New Roman"/>
          <w:szCs w:val="24"/>
        </w:rPr>
        <w:fldChar w:fldCharType="begin" w:fldLock="1"/>
      </w:r>
      <w:r w:rsidR="00773999">
        <w:rPr>
          <w:rFonts w:ascii="Times New Roman" w:eastAsia="Calibri" w:hAnsi="Times New Roman"/>
          <w:szCs w:val="24"/>
        </w:rPr>
        <w:instrText xml:space="preserve">ADDIN CSL_CITATION {"citationItems":[{"id":"ITEM-1","itemData":{"DOI":"10.1021/la980425n","abstract":"The first in situ internal reflection infrared spectroscopic study of lysine adsorption from an aqueous solution to TiO2 films is reported. The infrared spectrum of lysine adsorbed to TiO2 from an aqueous solution at an intermediate pH of </w:instrText>
      </w:r>
      <w:r w:rsidR="00773999">
        <w:rPr>
          <w:rFonts w:ascii="Cambria Math" w:eastAsia="Calibri" w:hAnsi="Cambria Math" w:cs="Cambria Math"/>
          <w:szCs w:val="24"/>
        </w:rPr>
        <w:instrText>∼</w:instrText>
      </w:r>
      <w:r w:rsidR="00773999">
        <w:rPr>
          <w:rFonts w:ascii="Times New Roman" w:eastAsia="Calibri" w:hAnsi="Times New Roman"/>
          <w:szCs w:val="24"/>
        </w:rPr>
        <w:instrText xml:space="preserve">5-7 strongly resembles that of solution lysine, indicating that lysine is electrostatically adsorbed. At this pH, favorable electrostatic interactions occur between the lysine cation and the negatively charged TiO2 film (point of zero charge at pH </w:instrText>
      </w:r>
      <w:r w:rsidR="00773999">
        <w:rPr>
          <w:rFonts w:ascii="Cambria Math" w:eastAsia="Calibri" w:hAnsi="Cambria Math" w:cs="Cambria Math"/>
          <w:szCs w:val="24"/>
        </w:rPr>
        <w:instrText>∼</w:instrText>
      </w:r>
      <w:r w:rsidR="00773999">
        <w:rPr>
          <w:rFonts w:ascii="Times New Roman" w:eastAsia="Calibri" w:hAnsi="Times New Roman"/>
          <w:szCs w:val="24"/>
        </w:rPr>
        <w:instrText>5). A Langmuir isotherm analysis was used to obtain an equilibrium constant for lysine adsorption at pH 7.4 of 3 × 10 3 M -1 , consistent with an electrostatically adsorbed surface species. Increasing the crystallinity of the TiO2 film did not affect lysine adsorption. The surface titration by internal reflection spectroscopy (STIRS) technique has been used to investigate the effect of pH change on lysine adsorption to TiO2. Maximum lysine adsorption to TiO2 occurs near the lysine isoelectric point of 9.8.","author":[{"dropping-particle":"","family":"Roddick-Lanzilotta","given":"Alisa D","non-dropping-particle":"","parse-names":false,"suffix":""},{"dropping-particle":"","family":"Connor","given":"Paul A","non-dropping-particle":"","parse-names":false,"suffix":""},{"dropping-particle":"","family":"Mcquillan","given":"A James","non-dropping-particle":"","parse-names":false,"suffix":""}],"container-title":"Langmuir","id":"ITEM-1","issued":{"date-parts":[["1998"]]},"page":"6479-6484","title":"An In Situ Infrared Spectroscopic Study of the Adsorption of Lysine to TiO 2 from an Aqueous Solution","type":"article-journal","volume":"14"},"uris":["http://www.mendeley.com/documents/?uuid=72db7211-e67b-457d-85c3-fe7a430b499f"]},{"id":"ITEM-2","itemData":{"DOI":"10.1021/acs.jpcc.7b03305","ISSN":"19327455","abstract":"© 2017 American Chemical Society. The interaction of 11 amino acids with the TiO 2  (101) anatase surface was investigated by means of PBE-D2</w:instrText>
      </w:r>
      <w:r w:rsidR="00773999">
        <w:rPr>
          <w:rFonts w:ascii="Cambria Math" w:eastAsia="Calibri" w:hAnsi="Cambria Math" w:cs="Cambria Math"/>
          <w:szCs w:val="24"/>
        </w:rPr>
        <w:instrText>∗</w:instrText>
      </w:r>
      <w:r w:rsidR="00773999">
        <w:rPr>
          <w:rFonts w:ascii="Times New Roman" w:eastAsia="Calibri" w:hAnsi="Times New Roman"/>
          <w:szCs w:val="24"/>
        </w:rPr>
        <w:instrText xml:space="preserve"> periodic simulations, both from a static and dynamic points of view. Several adsorption states, with the amino acid in its canonical, zwitterionic, or deprotonated forms, were considered. The strongest interactions correspond to dative interactions between the electron pairs of N or O atoms of the amino acids and the Ti atoms of the surface. For glycine, the most stable configuration corresponds to the deprotonated (N,O) binding mode, at variance to that observed for the adsorption of glycine on rutile (110) surface, for which the dissociative (O,O) binding mode was determined to be the preferred one. For the remaining amino acids, the following general trend was identified: those amino acids with acidic or a basic lateral chain groups, except Arg, exhibit a deprotonated (N,O) binding mode as glycine, because the additional dative interactions with the side chain overcome the destabilizing effect induced by steric hindrances. However, for the remaining amino acids, with weaker side chain interactions, the zwitterionic state is the most stable conformer because the steric hindrances between the lateral chains and the surface are minimized. Overall, the present results indicate that the most stable amino acid adsorption state on the surface arises from a delicate balance between favorable interactions and steric hindrances of the amino acids with the surface, the latter ones becoming particularly relevant when lateral chains are considered.","author":[{"dropping-particle":"","family":"Pantaleone","given":"Stefano","non-dropping-particle":"","parse-names":false,"suffix":""},{"dropping-particle":"","family":"Rimola","given":"Albert","non-dropping-particle":"","parse-names":false,"suffix":""},{"dropping-particle":"","family":"Sodupe","given":"Mariona","non-dropping-particle":"","parse-names":false,"suffix":""}],"container-title":"Journal of Physical Chemistry C","id":"ITEM-2","issue":"26","issued":{"date-parts":[["2017"]]},"page":"14156-14165","title":"Canonical, Deprotonated, or Zwitterionic? A Computational Study on Amino Acid Interaction with the TiO2(101) Anatase Surface","type":"article-journal","volume":"121"},"uris":["http://www.mendeley.com/documents/?uuid=77d67ede-248a-4c18-ae53-42f98aae5e0b"]},{"id":"ITEM-3","itemData":{"DOI":"10.1016/S0039-6028(03)00723-4","ISBN":"0039-6028","ISSN":"00396028","abstract":"The adsorption of glycine, methionine, serine, and cysteine on partially hydroxylated rutile (100) and (110) surfaces was simulated by first principles molecular dynamics. Perfect surfaces and well known defects such as oxygen vacancies and facets were modelled. In most runs the simulation cell was filled with H2O molecules up to standard density. Binding of the carboxyl groups to the surface through hydrogen bonds and Ti-O interaction is weak in all cases. The adsorbate-substrate interactions do not seem to be significantly stronger than adsorbate-adsorbate hydrogen bonds. The NH3+-group of the zwitterion showed only weak interaction with the surface oxygen atoms and rotated around its figure axis. More stable configurations are attained by ester condensation of the carboxyl group and a basic surface hydroxyl group and by the formation of a bond between a deprotonated hydroxyl or thiol group of serine or cysteine, respectively, and a surface Ti. Calculations suggest that these groups bind to the perfect surface rather than inserting into oxygen vacancies. © 2003 Elsevier Science B.V. All rights reserved.","author":[{"dropping-particle":"","family":"Langel","given":"Walter","non-dropping-particle":"","parse-names":false,"suffix":""},{"dropping-particle":"","family":"Menken","given":"Lars","non-dropping-particle":"","parse-names":false,"suffix":""}],"container-title":"Surface Science","id":"ITEM-3","issue":"1-2","issued":{"date-parts":[["2003"]]},"page":"1-9","title":"Simulation of the interface between titanium oxide and amino acids in solution by first principles MD","type":"article-journal","volume":"538"},"uris":["http://www.mendeley.com/documents/?uuid=6599ad96-76ff-41a7-ab68-c1667299c6a0"]}],"mendeley":{"formattedCitation":"&lt;sup&gt;13,25,29&lt;/sup&gt;","plainTextFormattedCitation":"13,25,29","previouslyFormattedCitation":"&lt;sup&gt;13,25,29&lt;/sup&gt;"},"properties":{"noteIndex":0},"schema":"https://github.com/citation-style-language/schema/raw/master/csl-citation.json"}</w:instrText>
      </w:r>
      <w:r w:rsidR="00A04837">
        <w:rPr>
          <w:rFonts w:ascii="Times New Roman" w:eastAsia="Calibri" w:hAnsi="Times New Roman"/>
          <w:szCs w:val="24"/>
        </w:rPr>
        <w:fldChar w:fldCharType="separate"/>
      </w:r>
      <w:r w:rsidR="00A04837" w:rsidRPr="00A04837">
        <w:rPr>
          <w:rFonts w:ascii="Times New Roman" w:eastAsia="Calibri" w:hAnsi="Times New Roman"/>
          <w:noProof/>
          <w:szCs w:val="24"/>
          <w:vertAlign w:val="superscript"/>
        </w:rPr>
        <w:t>13,25,29</w:t>
      </w:r>
      <w:r w:rsidR="00A04837">
        <w:rPr>
          <w:rFonts w:ascii="Times New Roman" w:eastAsia="Calibri" w:hAnsi="Times New Roman"/>
          <w:szCs w:val="24"/>
        </w:rPr>
        <w:fldChar w:fldCharType="end"/>
      </w:r>
      <w:r w:rsidR="00181D1D" w:rsidRPr="000A0161">
        <w:rPr>
          <w:rFonts w:ascii="Times New Roman" w:eastAsia="Calibri" w:hAnsi="Times New Roman"/>
          <w:szCs w:val="24"/>
        </w:rPr>
        <w:t xml:space="preserve"> Only two studies reported amino acids </w:t>
      </w:r>
      <w:r w:rsidR="000A239E">
        <w:rPr>
          <w:rFonts w:ascii="Times New Roman" w:eastAsia="Calibri" w:hAnsi="Times New Roman"/>
          <w:szCs w:val="24"/>
        </w:rPr>
        <w:t xml:space="preserve">to </w:t>
      </w:r>
      <w:r w:rsidR="00181D1D" w:rsidRPr="000A0161">
        <w:rPr>
          <w:rFonts w:ascii="Times New Roman" w:eastAsia="Calibri" w:hAnsi="Times New Roman"/>
          <w:szCs w:val="24"/>
        </w:rPr>
        <w:t>bind at negatively charged oxygens of TiO</w:t>
      </w:r>
      <w:r w:rsidR="00181D1D" w:rsidRPr="000A0161">
        <w:rPr>
          <w:rFonts w:ascii="Times New Roman" w:eastAsia="Calibri" w:hAnsi="Times New Roman"/>
          <w:szCs w:val="24"/>
          <w:vertAlign w:val="subscript"/>
        </w:rPr>
        <w:t>2</w:t>
      </w:r>
      <w:r w:rsidR="00181D1D" w:rsidRPr="000A0161">
        <w:rPr>
          <w:rFonts w:ascii="Times New Roman" w:eastAsia="Calibri" w:hAnsi="Times New Roman"/>
          <w:szCs w:val="24"/>
        </w:rPr>
        <w:t xml:space="preserve"> with </w:t>
      </w:r>
      <w:r w:rsidR="00181D1D" w:rsidRPr="000A0161">
        <w:rPr>
          <w:rFonts w:ascii="Symbol" w:eastAsia="Calibri" w:hAnsi="Symbol"/>
          <w:i/>
          <w:szCs w:val="24"/>
        </w:rPr>
        <w:t></w:t>
      </w:r>
      <w:r w:rsidR="00181D1D" w:rsidRPr="000A0161">
        <w:rPr>
          <w:rFonts w:ascii="Symbol" w:eastAsia="Calibri" w:hAnsi="Symbol"/>
          <w:szCs w:val="24"/>
        </w:rPr>
        <w:t></w:t>
      </w:r>
      <w:r w:rsidR="00181D1D" w:rsidRPr="000A0161">
        <w:rPr>
          <w:rFonts w:ascii="Times New Roman" w:eastAsia="Calibri" w:hAnsi="Times New Roman"/>
          <w:szCs w:val="24"/>
        </w:rPr>
        <w:t>ammonium group.</w:t>
      </w:r>
      <w:r w:rsidR="00A04837">
        <w:rPr>
          <w:rFonts w:ascii="Times New Roman" w:eastAsia="Calibri" w:hAnsi="Times New Roman"/>
          <w:szCs w:val="24"/>
        </w:rPr>
        <w:fldChar w:fldCharType="begin" w:fldLock="1"/>
      </w:r>
      <w:r w:rsidR="00773999">
        <w:rPr>
          <w:rFonts w:ascii="Times New Roman" w:eastAsia="Calibri" w:hAnsi="Times New Roman"/>
          <w:szCs w:val="24"/>
        </w:rPr>
        <w:instrText>ADDIN CSL_CITATION {"citationItems":[{"id":"ITEM-1","itemData":{"DOI":"10.1021/la500722n","ISBN":"0743-7463","ISSN":"15205827","PMID":"24978817","abstract":"Nanoparticles in biological media form dynamic entities as a result of competitive adsorption of proteins on nanoparticle surfaces called protein coronas. The protein affinity toward nanoparticle surfaces potentially depends on the constituent amino acid side chains which are on the protein exterior and thus exposed to the solution and available for interaction. Therefore, studying the adsorption of individual amino acids on nanoparticle surfaces can provide valuable insights into the overall evolution of nanoparticles in solution and the protein corona that forms. In the current study, the surface adsorption of l-histidine on TiO2 nanoparticles with a diameter of 5 nm at pH 7.4 (physiological pH) is studied from both macroscopic and molecular perspectives. Quantitative adsorption measurements of l-histidine on 5 nm TiO2 particles yield maximum adsorption coverage of 6.2 ± 0.3 × 10(13) molecules cm(-2) at 293 K and pH 7.4. These quantitative adsorption measurements also yield values for the equilibrium constant and free energy of adsorption of K = 4.3 ± 0.5 × 10(2) L mol(-1) and ΔG = -14.8 ± 0.3 kJ mol(-1), respectively. Detailed analysis of the adsorption between histidine and 5 nm TiO2 nanoparticle surfaces with attenuated total reflectance Fourier transform infrared (ATR-FTIR) spectroscopy indicates both the imidazole side chain and the amine group interacting with the nanoparticle surface and the adsorption to be reversible. The adsorption results in no change in surface charge and therefore does not change nanoparticle-nanoparticle interactions and thus aggregation behavior of these 5 nm TiO2 nanoparticles in aqueous solution.","author":[{"dropping-particle":"","family":"Mudunkotuwa","given":"Imali A.","non-dropping-particle":"","parse-names":false,"suffix":""},{"dropping-particle":"","family":"Grassian","given":"Vicki H.","non-dropping-particle":"","parse-names":false,"suffix":""}],"container-title":"Langmuir","id":"ITEM-1","issued":{"date-parts":[["2014"]]},"title":"Histidine adsorption on TiO2 nanoparticles: An integrated spectroscopic, thermodynamic, and molecular-based approach toward understanding nano-bio interactions","type":"article-journal"},"uris":["http://www.mendeley.com/documents/?uuid=97c7fb96-3919-4f72-8719-2ef67a6afae4"]},{"id":"ITEM-2","itemData":{"DOI":"10.1021/la00009a034","ISBN":"0743-7463","ISSN":"07437463","abstract":"The adsorption of L-aspartic acid (AA) at the TiO2-KNO3 aqueous solution interface was studied as a function of pH and electrolyte concentration using direct adsorption, OH- desorption, electrophoresis, and XPS measurements. A multisites surface complexation model was used to describe the charging and adsorptive behavior of the particles. Adsorption and electrophoretic data show that the amino acid uptake is characteristic of adsorbing anions and almost ionic strength independent. Although XPS data indicates that AA interacts with TiO2 surface sites through the amino groups, neither XPS nor kinetic results give conclusive evidence for the adsorption mechanism (ligand exchange or hydrogen bonding). Model calculations together with OH- desorption data, however, allow us to conclude that ligand exchange reactions, by which AA forms inner sphere surface complexes, take place. The model also predicts that only terminal (TiOH) groups react with AA. The results exemplify the usefulness of modeling when a quite complete set of experimental data cannot elucidate the type of reaction taking place between the solute and the surface. ? 1995 American Chemical Society.","author":[{"dropping-particle":"","family":"Giacomelli","given":"Ce","non-dropping-particle":"","parse-names":false,"suffix":""},{"dropping-particle":"","family":"Avena","given":"Mj","non-dropping-particle":"","parse-names":false,"suffix":""},{"dropping-particle":"De","family":"Pauli","given":"Cp","non-dropping-particle":"","parse-names":false,"suffix":""}],"container-title":"Langmuir","id":"ITEM-2","issue":"16","issued":{"date-parts":[["1995"]]},"page":"3483-3490","title":"Aspartic acid adsorption onto TiO2 particles surface. Experimental data and model calculations","type":"article-journal"},"uris":["http://www.mendeley.com/documents/?uuid=41443f5f-0de6-4fc5-ae1b-5c6a20a9606c"]}],"mendeley":{"formattedCitation":"&lt;sup&gt;16,21&lt;/sup&gt;","plainTextFormattedCitation":"16,21","previouslyFormattedCitation":"&lt;sup&gt;16,21&lt;/sup&gt;"},"properties":{"noteIndex":0},"schema":"https://github.com/citation-style-language/schema/raw/master/csl-citation.json"}</w:instrText>
      </w:r>
      <w:r w:rsidR="00A04837">
        <w:rPr>
          <w:rFonts w:ascii="Times New Roman" w:eastAsia="Calibri" w:hAnsi="Times New Roman"/>
          <w:szCs w:val="24"/>
        </w:rPr>
        <w:fldChar w:fldCharType="separate"/>
      </w:r>
      <w:r w:rsidR="00A04837" w:rsidRPr="00A04837">
        <w:rPr>
          <w:rFonts w:ascii="Times New Roman" w:eastAsia="Calibri" w:hAnsi="Times New Roman"/>
          <w:noProof/>
          <w:szCs w:val="24"/>
          <w:vertAlign w:val="superscript"/>
        </w:rPr>
        <w:t>16,21</w:t>
      </w:r>
      <w:r w:rsidR="00A04837">
        <w:rPr>
          <w:rFonts w:ascii="Times New Roman" w:eastAsia="Calibri" w:hAnsi="Times New Roman"/>
          <w:szCs w:val="24"/>
        </w:rPr>
        <w:fldChar w:fldCharType="end"/>
      </w:r>
    </w:p>
    <w:p w:rsidR="00FF13A7" w:rsidRDefault="00FF13A7" w:rsidP="00FF13A7">
      <w:pPr>
        <w:pStyle w:val="VDTableTitle"/>
      </w:pPr>
      <w:proofErr w:type="gramStart"/>
      <w:r w:rsidRPr="00CD5CB1">
        <w:rPr>
          <w:b/>
        </w:rPr>
        <w:t>Table 7.</w:t>
      </w:r>
      <w:proofErr w:type="gramEnd"/>
      <w:r w:rsidRPr="00CD5CB1">
        <w:t xml:space="preserve"> </w:t>
      </w:r>
      <w:proofErr w:type="gramStart"/>
      <w:r w:rsidRPr="00CD5CB1">
        <w:t>The total energy of the “amino acid-titanium dioxide” complex in molecular (E</w:t>
      </w:r>
      <w:r w:rsidRPr="00CD5CB1">
        <w:rPr>
          <w:vertAlign w:val="subscript"/>
        </w:rPr>
        <w:t>1</w:t>
      </w:r>
      <w:r w:rsidRPr="00CD5CB1">
        <w:t xml:space="preserve">) and in the </w:t>
      </w:r>
      <w:proofErr w:type="spellStart"/>
      <w:r w:rsidRPr="00CD5CB1">
        <w:t>zwitterionic</w:t>
      </w:r>
      <w:proofErr w:type="spellEnd"/>
      <w:r w:rsidRPr="00CD5CB1">
        <w:t xml:space="preserve"> form (Е</w:t>
      </w:r>
      <w:r w:rsidRPr="00CD5CB1">
        <w:rPr>
          <w:vertAlign w:val="subscript"/>
        </w:rPr>
        <w:t>2</w:t>
      </w:r>
      <w:r w:rsidRPr="00CD5CB1">
        <w:t>).</w:t>
      </w:r>
      <w:proofErr w:type="gramEnd"/>
    </w:p>
    <w:tbl>
      <w:tblPr>
        <w:tblStyle w:val="aa"/>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2550"/>
        <w:gridCol w:w="2552"/>
      </w:tblGrid>
      <w:tr w:rsidR="00FF13A7" w:rsidRPr="00E110B8" w:rsidTr="0047532B">
        <w:trPr>
          <w:tblHeader/>
        </w:trPr>
        <w:tc>
          <w:tcPr>
            <w:tcW w:w="1844" w:type="dxa"/>
            <w:tcBorders>
              <w:bottom w:val="single" w:sz="4" w:space="0" w:color="auto"/>
            </w:tcBorders>
            <w:vAlign w:val="center"/>
          </w:tcPr>
          <w:p w:rsidR="00FF13A7" w:rsidRPr="00FF13A7" w:rsidRDefault="00FF13A7" w:rsidP="00FF13A7">
            <w:pPr>
              <w:pStyle w:val="TCTableBody"/>
              <w:jc w:val="center"/>
              <w:rPr>
                <w:b/>
                <w:shd w:val="clear" w:color="auto" w:fill="FFFFFF"/>
                <w:lang w:val="en-US"/>
              </w:rPr>
            </w:pPr>
            <w:r w:rsidRPr="00FF13A7">
              <w:rPr>
                <w:b/>
                <w:shd w:val="clear" w:color="auto" w:fill="FFFFFF"/>
                <w:lang w:val="en-US"/>
              </w:rPr>
              <w:t>AA</w:t>
            </w:r>
          </w:p>
        </w:tc>
        <w:tc>
          <w:tcPr>
            <w:tcW w:w="2550" w:type="dxa"/>
            <w:tcBorders>
              <w:bottom w:val="single" w:sz="4" w:space="0" w:color="auto"/>
            </w:tcBorders>
            <w:vAlign w:val="center"/>
          </w:tcPr>
          <w:p w:rsidR="00FF13A7" w:rsidRPr="00FF13A7" w:rsidRDefault="00FF13A7" w:rsidP="00FF13A7">
            <w:pPr>
              <w:pStyle w:val="TCTableBody"/>
              <w:jc w:val="center"/>
              <w:rPr>
                <w:b/>
                <w:shd w:val="clear" w:color="auto" w:fill="FFFFFF"/>
                <w:lang w:val="en-US"/>
              </w:rPr>
            </w:pPr>
            <w:r w:rsidRPr="00FF13A7">
              <w:rPr>
                <w:b/>
                <w:shd w:val="clear" w:color="auto" w:fill="FFFFFF"/>
                <w:lang w:val="en-US"/>
              </w:rPr>
              <w:t>E</w:t>
            </w:r>
            <w:r w:rsidRPr="00FF13A7">
              <w:rPr>
                <w:b/>
                <w:shd w:val="clear" w:color="auto" w:fill="FFFFFF"/>
                <w:vertAlign w:val="subscript"/>
                <w:lang w:val="en-US"/>
              </w:rPr>
              <w:t>1</w:t>
            </w:r>
            <w:r w:rsidRPr="00FF13A7">
              <w:rPr>
                <w:b/>
                <w:shd w:val="clear" w:color="auto" w:fill="FFFFFF"/>
                <w:lang w:val="en-US"/>
              </w:rPr>
              <w:t xml:space="preserve">, </w:t>
            </w:r>
            <w:r w:rsidRPr="00FF13A7">
              <w:rPr>
                <w:b/>
                <w:i/>
                <w:shd w:val="clear" w:color="auto" w:fill="FFFFFF"/>
                <w:lang w:val="en-US"/>
              </w:rPr>
              <w:t>kJ/</w:t>
            </w:r>
            <w:proofErr w:type="spellStart"/>
            <w:r w:rsidRPr="00FF13A7">
              <w:rPr>
                <w:b/>
                <w:i/>
                <w:shd w:val="clear" w:color="auto" w:fill="FFFFFF"/>
                <w:lang w:val="en-US"/>
              </w:rPr>
              <w:t>mol</w:t>
            </w:r>
            <w:proofErr w:type="spellEnd"/>
          </w:p>
        </w:tc>
        <w:tc>
          <w:tcPr>
            <w:tcW w:w="2552" w:type="dxa"/>
            <w:tcBorders>
              <w:bottom w:val="single" w:sz="4" w:space="0" w:color="auto"/>
            </w:tcBorders>
            <w:vAlign w:val="center"/>
          </w:tcPr>
          <w:p w:rsidR="00FF13A7" w:rsidRPr="00FF13A7" w:rsidRDefault="00FF13A7" w:rsidP="00FF13A7">
            <w:pPr>
              <w:pStyle w:val="TCTableBody"/>
              <w:jc w:val="center"/>
              <w:rPr>
                <w:b/>
                <w:shd w:val="clear" w:color="auto" w:fill="FFFFFF"/>
                <w:lang w:val="en-US"/>
              </w:rPr>
            </w:pPr>
            <w:r w:rsidRPr="00FF13A7">
              <w:rPr>
                <w:b/>
                <w:shd w:val="clear" w:color="auto" w:fill="FFFFFF"/>
                <w:lang w:val="en-US"/>
              </w:rPr>
              <w:t>E</w:t>
            </w:r>
            <w:r w:rsidRPr="00FF13A7">
              <w:rPr>
                <w:b/>
                <w:shd w:val="clear" w:color="auto" w:fill="FFFFFF"/>
                <w:vertAlign w:val="subscript"/>
                <w:lang w:val="en-US"/>
              </w:rPr>
              <w:t>2</w:t>
            </w:r>
            <w:r w:rsidRPr="00FF13A7">
              <w:rPr>
                <w:b/>
                <w:shd w:val="clear" w:color="auto" w:fill="FFFFFF"/>
                <w:lang w:val="en-US"/>
              </w:rPr>
              <w:t xml:space="preserve">, </w:t>
            </w:r>
            <w:r w:rsidRPr="00FF13A7">
              <w:rPr>
                <w:b/>
                <w:i/>
                <w:shd w:val="clear" w:color="auto" w:fill="FFFFFF"/>
                <w:lang w:val="en-US"/>
              </w:rPr>
              <w:t>kJ/</w:t>
            </w:r>
            <w:proofErr w:type="spellStart"/>
            <w:r w:rsidRPr="00FF13A7">
              <w:rPr>
                <w:b/>
                <w:i/>
                <w:shd w:val="clear" w:color="auto" w:fill="FFFFFF"/>
                <w:lang w:val="en-US"/>
              </w:rPr>
              <w:t>mol</w:t>
            </w:r>
            <w:proofErr w:type="spellEnd"/>
          </w:p>
        </w:tc>
      </w:tr>
      <w:tr w:rsidR="00FF13A7" w:rsidRPr="00E110B8" w:rsidTr="0047532B">
        <w:tc>
          <w:tcPr>
            <w:tcW w:w="6946" w:type="dxa"/>
            <w:gridSpan w:val="3"/>
            <w:tcBorders>
              <w:top w:val="single" w:sz="4" w:space="0" w:color="auto"/>
              <w:bottom w:val="single" w:sz="4" w:space="0" w:color="auto"/>
            </w:tcBorders>
            <w:vAlign w:val="center"/>
          </w:tcPr>
          <w:p w:rsidR="00FF13A7" w:rsidRPr="00BD5BCE" w:rsidRDefault="00FF13A7" w:rsidP="00FF13A7">
            <w:pPr>
              <w:pStyle w:val="TCTableBody"/>
              <w:jc w:val="center"/>
              <w:rPr>
                <w:i/>
                <w:shd w:val="clear" w:color="auto" w:fill="FFFFFF"/>
                <w:lang w:val="en-US"/>
              </w:rPr>
            </w:pPr>
            <w:r w:rsidRPr="00BD5BCE">
              <w:rPr>
                <w:i/>
                <w:shd w:val="clear" w:color="auto" w:fill="FFFFFF"/>
                <w:lang w:val="en-US"/>
              </w:rPr>
              <w:t>aliphatic</w:t>
            </w:r>
          </w:p>
        </w:tc>
      </w:tr>
      <w:tr w:rsidR="00FF13A7" w:rsidRPr="00E110B8" w:rsidTr="0047532B">
        <w:tc>
          <w:tcPr>
            <w:tcW w:w="1844" w:type="dxa"/>
            <w:tcBorders>
              <w:top w:val="single" w:sz="4" w:space="0" w:color="auto"/>
            </w:tcBorders>
            <w:vAlign w:val="center"/>
          </w:tcPr>
          <w:p w:rsidR="00FF13A7" w:rsidRPr="00BD5BCE" w:rsidRDefault="00FF13A7" w:rsidP="00FF13A7">
            <w:pPr>
              <w:pStyle w:val="TCTableBody"/>
              <w:jc w:val="center"/>
              <w:rPr>
                <w:shd w:val="clear" w:color="auto" w:fill="FFFFFF"/>
                <w:lang w:val="en-US"/>
              </w:rPr>
            </w:pPr>
            <w:r w:rsidRPr="00BD5BCE">
              <w:rPr>
                <w:shd w:val="clear" w:color="auto" w:fill="FFFFFF"/>
                <w:lang w:val="en-US"/>
              </w:rPr>
              <w:t>Ala</w:t>
            </w:r>
          </w:p>
        </w:tc>
        <w:tc>
          <w:tcPr>
            <w:tcW w:w="2550"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738.1</w:t>
            </w:r>
          </w:p>
        </w:tc>
        <w:tc>
          <w:tcPr>
            <w:tcW w:w="2552"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859.7</w:t>
            </w:r>
          </w:p>
        </w:tc>
      </w:tr>
      <w:tr w:rsidR="00FF13A7" w:rsidRPr="00E110B8" w:rsidTr="0047532B">
        <w:tc>
          <w:tcPr>
            <w:tcW w:w="1844" w:type="dxa"/>
            <w:vAlign w:val="center"/>
          </w:tcPr>
          <w:p w:rsidR="00FF13A7" w:rsidRPr="00BD5BCE" w:rsidRDefault="00FF13A7" w:rsidP="00FF13A7">
            <w:pPr>
              <w:pStyle w:val="TCTableBody"/>
              <w:jc w:val="center"/>
              <w:rPr>
                <w:shd w:val="clear" w:color="auto" w:fill="FFFFFF"/>
                <w:lang w:val="en-US"/>
              </w:rPr>
            </w:pPr>
            <w:r w:rsidRPr="00BD5BCE">
              <w:rPr>
                <w:shd w:val="clear" w:color="auto" w:fill="FFFFFF"/>
                <w:lang w:val="en-US"/>
              </w:rPr>
              <w:t>Val</w:t>
            </w:r>
          </w:p>
        </w:tc>
        <w:tc>
          <w:tcPr>
            <w:tcW w:w="2550"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720.2</w:t>
            </w:r>
          </w:p>
        </w:tc>
        <w:tc>
          <w:tcPr>
            <w:tcW w:w="2552"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819.7</w:t>
            </w:r>
          </w:p>
        </w:tc>
      </w:tr>
      <w:tr w:rsidR="00FF13A7" w:rsidRPr="00E110B8" w:rsidTr="0047532B">
        <w:tc>
          <w:tcPr>
            <w:tcW w:w="1844" w:type="dxa"/>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t>Leu</w:t>
            </w:r>
            <w:proofErr w:type="spellEnd"/>
          </w:p>
        </w:tc>
        <w:tc>
          <w:tcPr>
            <w:tcW w:w="2550"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716.9</w:t>
            </w:r>
          </w:p>
        </w:tc>
        <w:tc>
          <w:tcPr>
            <w:tcW w:w="2552"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827.0</w:t>
            </w:r>
          </w:p>
        </w:tc>
      </w:tr>
      <w:tr w:rsidR="00FF13A7" w:rsidRPr="00E110B8" w:rsidTr="0047532B">
        <w:tc>
          <w:tcPr>
            <w:tcW w:w="1844" w:type="dxa"/>
            <w:tcBorders>
              <w:bottom w:val="single" w:sz="4" w:space="0" w:color="auto"/>
            </w:tcBorders>
            <w:vAlign w:val="center"/>
          </w:tcPr>
          <w:p w:rsidR="00FF13A7" w:rsidRPr="00BD5BCE" w:rsidRDefault="00FF13A7" w:rsidP="00FF13A7">
            <w:pPr>
              <w:pStyle w:val="TCTableBody"/>
              <w:jc w:val="center"/>
              <w:rPr>
                <w:shd w:val="clear" w:color="auto" w:fill="FFFFFF"/>
                <w:lang w:val="en-US"/>
              </w:rPr>
            </w:pPr>
            <w:r w:rsidRPr="00BD5BCE">
              <w:rPr>
                <w:shd w:val="clear" w:color="auto" w:fill="FFFFFF"/>
                <w:lang w:val="en-US"/>
              </w:rPr>
              <w:t>Ile</w:t>
            </w:r>
          </w:p>
        </w:tc>
        <w:tc>
          <w:tcPr>
            <w:tcW w:w="2550"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714.3</w:t>
            </w:r>
          </w:p>
        </w:tc>
        <w:tc>
          <w:tcPr>
            <w:tcW w:w="2552"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849.7</w:t>
            </w:r>
          </w:p>
        </w:tc>
      </w:tr>
      <w:tr w:rsidR="00FF13A7" w:rsidRPr="00E110B8" w:rsidTr="0047532B">
        <w:tc>
          <w:tcPr>
            <w:tcW w:w="6946" w:type="dxa"/>
            <w:gridSpan w:val="3"/>
            <w:tcBorders>
              <w:top w:val="single" w:sz="4" w:space="0" w:color="auto"/>
              <w:bottom w:val="single" w:sz="4" w:space="0" w:color="auto"/>
            </w:tcBorders>
            <w:vAlign w:val="center"/>
          </w:tcPr>
          <w:p w:rsidR="00FF13A7" w:rsidRPr="00BD5BCE" w:rsidRDefault="00FF13A7" w:rsidP="00FF13A7">
            <w:pPr>
              <w:pStyle w:val="TCTableBody"/>
              <w:jc w:val="center"/>
              <w:rPr>
                <w:i/>
                <w:shd w:val="clear" w:color="auto" w:fill="FFFFFF"/>
                <w:lang w:val="en-US"/>
              </w:rPr>
            </w:pPr>
            <w:r w:rsidRPr="00BD5BCE">
              <w:rPr>
                <w:i/>
                <w:shd w:val="clear" w:color="auto" w:fill="FFFFFF"/>
                <w:lang w:val="en-US"/>
              </w:rPr>
              <w:t>aromatic</w:t>
            </w:r>
          </w:p>
        </w:tc>
      </w:tr>
      <w:tr w:rsidR="00FF13A7" w:rsidRPr="00E110B8" w:rsidTr="0047532B">
        <w:tc>
          <w:tcPr>
            <w:tcW w:w="1844" w:type="dxa"/>
            <w:tcBorders>
              <w:top w:val="single" w:sz="4" w:space="0" w:color="auto"/>
            </w:tcBorders>
            <w:vAlign w:val="center"/>
          </w:tcPr>
          <w:p w:rsidR="00FF13A7" w:rsidRPr="00BD5BCE" w:rsidRDefault="00FF13A7" w:rsidP="00FF13A7">
            <w:pPr>
              <w:pStyle w:val="TCTableBody"/>
              <w:jc w:val="center"/>
              <w:rPr>
                <w:shd w:val="clear" w:color="auto" w:fill="FFFFFF"/>
                <w:lang w:val="en-US"/>
              </w:rPr>
            </w:pPr>
            <w:r w:rsidRPr="00BD5BCE">
              <w:rPr>
                <w:shd w:val="clear" w:color="auto" w:fill="FFFFFF"/>
                <w:lang w:val="en-US"/>
              </w:rPr>
              <w:t>His</w:t>
            </w:r>
          </w:p>
        </w:tc>
        <w:tc>
          <w:tcPr>
            <w:tcW w:w="2550"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634.5</w:t>
            </w:r>
          </w:p>
        </w:tc>
        <w:tc>
          <w:tcPr>
            <w:tcW w:w="2552"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779.1</w:t>
            </w:r>
          </w:p>
        </w:tc>
      </w:tr>
      <w:tr w:rsidR="00FF13A7" w:rsidRPr="00E110B8" w:rsidTr="0047532B">
        <w:tc>
          <w:tcPr>
            <w:tcW w:w="1844" w:type="dxa"/>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t>Phe</w:t>
            </w:r>
            <w:proofErr w:type="spellEnd"/>
          </w:p>
        </w:tc>
        <w:tc>
          <w:tcPr>
            <w:tcW w:w="2550"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723.0</w:t>
            </w:r>
          </w:p>
        </w:tc>
        <w:tc>
          <w:tcPr>
            <w:tcW w:w="2552"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825.7</w:t>
            </w:r>
          </w:p>
        </w:tc>
      </w:tr>
      <w:tr w:rsidR="00FF13A7" w:rsidRPr="00E110B8" w:rsidTr="0047532B">
        <w:tc>
          <w:tcPr>
            <w:tcW w:w="1844" w:type="dxa"/>
            <w:tcBorders>
              <w:bottom w:val="single" w:sz="4" w:space="0" w:color="auto"/>
            </w:tcBorders>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t>Trp</w:t>
            </w:r>
            <w:proofErr w:type="spellEnd"/>
          </w:p>
        </w:tc>
        <w:tc>
          <w:tcPr>
            <w:tcW w:w="2550"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687.3</w:t>
            </w:r>
          </w:p>
        </w:tc>
        <w:tc>
          <w:tcPr>
            <w:tcW w:w="2552"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791.7</w:t>
            </w:r>
          </w:p>
        </w:tc>
      </w:tr>
      <w:tr w:rsidR="00FF13A7" w:rsidRPr="00E110B8" w:rsidTr="0047532B">
        <w:tc>
          <w:tcPr>
            <w:tcW w:w="6946" w:type="dxa"/>
            <w:gridSpan w:val="3"/>
            <w:tcBorders>
              <w:top w:val="single" w:sz="4" w:space="0" w:color="auto"/>
              <w:bottom w:val="single" w:sz="4" w:space="0" w:color="auto"/>
            </w:tcBorders>
            <w:vAlign w:val="center"/>
          </w:tcPr>
          <w:p w:rsidR="00FF13A7" w:rsidRPr="00BD5BCE" w:rsidRDefault="00FF13A7" w:rsidP="00FF13A7">
            <w:pPr>
              <w:pStyle w:val="TCTableBody"/>
              <w:jc w:val="center"/>
              <w:rPr>
                <w:i/>
                <w:shd w:val="clear" w:color="auto" w:fill="FFFFFF"/>
                <w:lang w:val="en-US"/>
              </w:rPr>
            </w:pPr>
            <w:r w:rsidRPr="00BD5BCE">
              <w:rPr>
                <w:i/>
                <w:shd w:val="clear" w:color="auto" w:fill="FFFFFF"/>
                <w:lang w:val="en-US"/>
              </w:rPr>
              <w:t>nonpolar</w:t>
            </w:r>
          </w:p>
        </w:tc>
      </w:tr>
      <w:tr w:rsidR="00FF13A7" w:rsidRPr="00E110B8" w:rsidTr="0047532B">
        <w:tc>
          <w:tcPr>
            <w:tcW w:w="1844" w:type="dxa"/>
            <w:tcBorders>
              <w:top w:val="single" w:sz="4" w:space="0" w:color="auto"/>
            </w:tcBorders>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t>Gly</w:t>
            </w:r>
            <w:proofErr w:type="spellEnd"/>
          </w:p>
        </w:tc>
        <w:tc>
          <w:tcPr>
            <w:tcW w:w="2550"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741.1</w:t>
            </w:r>
          </w:p>
        </w:tc>
        <w:tc>
          <w:tcPr>
            <w:tcW w:w="2552"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860.8</w:t>
            </w:r>
          </w:p>
        </w:tc>
      </w:tr>
      <w:tr w:rsidR="00FF13A7" w:rsidRPr="00E110B8" w:rsidTr="0047532B">
        <w:tc>
          <w:tcPr>
            <w:tcW w:w="1844" w:type="dxa"/>
            <w:vAlign w:val="center"/>
          </w:tcPr>
          <w:p w:rsidR="00FF13A7" w:rsidRPr="00BD5BCE" w:rsidRDefault="00FF13A7" w:rsidP="00FF13A7">
            <w:pPr>
              <w:pStyle w:val="TCTableBody"/>
              <w:jc w:val="center"/>
              <w:rPr>
                <w:shd w:val="clear" w:color="auto" w:fill="FFFFFF"/>
                <w:lang w:val="en-US"/>
              </w:rPr>
            </w:pPr>
            <w:r w:rsidRPr="00BD5BCE">
              <w:rPr>
                <w:shd w:val="clear" w:color="auto" w:fill="FFFFFF"/>
                <w:lang w:val="en-US"/>
              </w:rPr>
              <w:t>Pro</w:t>
            </w:r>
          </w:p>
        </w:tc>
        <w:tc>
          <w:tcPr>
            <w:tcW w:w="2550"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676.8</w:t>
            </w:r>
          </w:p>
        </w:tc>
        <w:tc>
          <w:tcPr>
            <w:tcW w:w="2552"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727.7</w:t>
            </w:r>
          </w:p>
        </w:tc>
      </w:tr>
      <w:tr w:rsidR="00FF13A7" w:rsidRPr="00E110B8" w:rsidTr="0047532B">
        <w:tc>
          <w:tcPr>
            <w:tcW w:w="1844" w:type="dxa"/>
            <w:tcBorders>
              <w:bottom w:val="single" w:sz="4" w:space="0" w:color="auto"/>
            </w:tcBorders>
            <w:vAlign w:val="center"/>
          </w:tcPr>
          <w:p w:rsidR="00FF13A7" w:rsidRPr="00BD5BCE" w:rsidRDefault="00FF13A7" w:rsidP="00FF13A7">
            <w:pPr>
              <w:pStyle w:val="TCTableBody"/>
              <w:jc w:val="center"/>
              <w:rPr>
                <w:shd w:val="clear" w:color="auto" w:fill="FFFFFF"/>
                <w:lang w:val="en-US"/>
              </w:rPr>
            </w:pPr>
            <w:r w:rsidRPr="00BD5BCE">
              <w:rPr>
                <w:shd w:val="clear" w:color="auto" w:fill="FFFFFF"/>
                <w:lang w:val="en-US"/>
              </w:rPr>
              <w:t>Met</w:t>
            </w:r>
          </w:p>
        </w:tc>
        <w:tc>
          <w:tcPr>
            <w:tcW w:w="2550"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730.8</w:t>
            </w:r>
          </w:p>
        </w:tc>
        <w:tc>
          <w:tcPr>
            <w:tcW w:w="2552"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845.4</w:t>
            </w:r>
          </w:p>
        </w:tc>
      </w:tr>
      <w:tr w:rsidR="00FF13A7" w:rsidRPr="00E110B8" w:rsidTr="0047532B">
        <w:tc>
          <w:tcPr>
            <w:tcW w:w="6946" w:type="dxa"/>
            <w:gridSpan w:val="3"/>
            <w:tcBorders>
              <w:top w:val="single" w:sz="4" w:space="0" w:color="auto"/>
              <w:bottom w:val="single" w:sz="4" w:space="0" w:color="auto"/>
            </w:tcBorders>
            <w:vAlign w:val="center"/>
          </w:tcPr>
          <w:p w:rsidR="00FF13A7" w:rsidRPr="00BD5BCE" w:rsidRDefault="00FF13A7" w:rsidP="00FF13A7">
            <w:pPr>
              <w:pStyle w:val="TCTableBody"/>
              <w:jc w:val="center"/>
              <w:rPr>
                <w:i/>
                <w:shd w:val="clear" w:color="auto" w:fill="FFFFFF"/>
                <w:lang w:val="en-US"/>
              </w:rPr>
            </w:pPr>
            <w:r w:rsidRPr="00BD5BCE">
              <w:rPr>
                <w:i/>
                <w:shd w:val="clear" w:color="auto" w:fill="FFFFFF"/>
                <w:lang w:val="en-US"/>
              </w:rPr>
              <w:t>polar</w:t>
            </w:r>
          </w:p>
        </w:tc>
      </w:tr>
      <w:tr w:rsidR="00FF13A7" w:rsidRPr="00E110B8" w:rsidTr="0047532B">
        <w:tc>
          <w:tcPr>
            <w:tcW w:w="1844" w:type="dxa"/>
            <w:tcBorders>
              <w:top w:val="single" w:sz="4" w:space="0" w:color="auto"/>
            </w:tcBorders>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t>Asn</w:t>
            </w:r>
            <w:proofErr w:type="spellEnd"/>
          </w:p>
        </w:tc>
        <w:tc>
          <w:tcPr>
            <w:tcW w:w="2550"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749.5</w:t>
            </w:r>
          </w:p>
        </w:tc>
        <w:tc>
          <w:tcPr>
            <w:tcW w:w="2552"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829.1</w:t>
            </w:r>
          </w:p>
        </w:tc>
      </w:tr>
      <w:tr w:rsidR="00FF13A7" w:rsidRPr="00E110B8" w:rsidTr="0047532B">
        <w:tc>
          <w:tcPr>
            <w:tcW w:w="1844" w:type="dxa"/>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t>Gln</w:t>
            </w:r>
            <w:proofErr w:type="spellEnd"/>
          </w:p>
        </w:tc>
        <w:tc>
          <w:tcPr>
            <w:tcW w:w="2550"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754.7</w:t>
            </w:r>
          </w:p>
        </w:tc>
        <w:tc>
          <w:tcPr>
            <w:tcW w:w="2552"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868.4</w:t>
            </w:r>
          </w:p>
        </w:tc>
      </w:tr>
      <w:tr w:rsidR="00FF13A7" w:rsidRPr="00E110B8" w:rsidTr="0047532B">
        <w:tc>
          <w:tcPr>
            <w:tcW w:w="1844" w:type="dxa"/>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t>Ser</w:t>
            </w:r>
            <w:proofErr w:type="spellEnd"/>
          </w:p>
        </w:tc>
        <w:tc>
          <w:tcPr>
            <w:tcW w:w="2550"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749.4</w:t>
            </w:r>
          </w:p>
        </w:tc>
        <w:tc>
          <w:tcPr>
            <w:tcW w:w="2552"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850.9</w:t>
            </w:r>
          </w:p>
        </w:tc>
      </w:tr>
      <w:tr w:rsidR="00FF13A7" w:rsidRPr="00E110B8" w:rsidTr="0047532B">
        <w:tc>
          <w:tcPr>
            <w:tcW w:w="1844" w:type="dxa"/>
            <w:tcBorders>
              <w:bottom w:val="single" w:sz="4" w:space="0" w:color="auto"/>
            </w:tcBorders>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t>Thr</w:t>
            </w:r>
            <w:proofErr w:type="spellEnd"/>
          </w:p>
        </w:tc>
        <w:tc>
          <w:tcPr>
            <w:tcW w:w="2550"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729.4</w:t>
            </w:r>
          </w:p>
        </w:tc>
        <w:tc>
          <w:tcPr>
            <w:tcW w:w="2552"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833.4</w:t>
            </w:r>
          </w:p>
        </w:tc>
      </w:tr>
      <w:tr w:rsidR="00FF13A7" w:rsidRPr="00E110B8" w:rsidTr="0047532B">
        <w:tc>
          <w:tcPr>
            <w:tcW w:w="6946" w:type="dxa"/>
            <w:gridSpan w:val="3"/>
            <w:tcBorders>
              <w:top w:val="single" w:sz="4" w:space="0" w:color="auto"/>
              <w:bottom w:val="single" w:sz="4" w:space="0" w:color="auto"/>
            </w:tcBorders>
            <w:vAlign w:val="center"/>
          </w:tcPr>
          <w:p w:rsidR="00FF13A7" w:rsidRPr="00BD5BCE" w:rsidRDefault="00FF13A7" w:rsidP="00FF13A7">
            <w:pPr>
              <w:pStyle w:val="TCTableBody"/>
              <w:jc w:val="center"/>
              <w:rPr>
                <w:i/>
                <w:shd w:val="clear" w:color="auto" w:fill="FFFFFF"/>
                <w:lang w:val="en-US"/>
              </w:rPr>
            </w:pPr>
            <w:r w:rsidRPr="00BD5BCE">
              <w:rPr>
                <w:i/>
                <w:shd w:val="clear" w:color="auto" w:fill="FFFFFF"/>
                <w:lang w:val="en-US"/>
              </w:rPr>
              <w:t>charged</w:t>
            </w:r>
          </w:p>
        </w:tc>
      </w:tr>
      <w:tr w:rsidR="00FF13A7" w:rsidRPr="00E110B8" w:rsidTr="0047532B">
        <w:tc>
          <w:tcPr>
            <w:tcW w:w="1844" w:type="dxa"/>
            <w:tcBorders>
              <w:top w:val="single" w:sz="4" w:space="0" w:color="auto"/>
            </w:tcBorders>
            <w:vAlign w:val="center"/>
          </w:tcPr>
          <w:p w:rsidR="00FF13A7" w:rsidRPr="00BD5BCE" w:rsidRDefault="00FF13A7" w:rsidP="00FF13A7">
            <w:pPr>
              <w:pStyle w:val="TCTableBody"/>
              <w:jc w:val="center"/>
              <w:rPr>
                <w:shd w:val="clear" w:color="auto" w:fill="FFFFFF"/>
                <w:lang w:val="en-US"/>
              </w:rPr>
            </w:pPr>
            <w:r w:rsidRPr="00BD5BCE">
              <w:rPr>
                <w:shd w:val="clear" w:color="auto" w:fill="FFFFFF"/>
                <w:lang w:val="en-US"/>
              </w:rPr>
              <w:t>Lys</w:t>
            </w:r>
          </w:p>
        </w:tc>
        <w:tc>
          <w:tcPr>
            <w:tcW w:w="2550"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727.3</w:t>
            </w:r>
          </w:p>
        </w:tc>
        <w:tc>
          <w:tcPr>
            <w:tcW w:w="2552" w:type="dxa"/>
            <w:tcBorders>
              <w:top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851.8</w:t>
            </w:r>
          </w:p>
        </w:tc>
      </w:tr>
      <w:tr w:rsidR="00FF13A7" w:rsidRPr="00E110B8" w:rsidTr="0047532B">
        <w:tc>
          <w:tcPr>
            <w:tcW w:w="1844" w:type="dxa"/>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lastRenderedPageBreak/>
              <w:t>Arg</w:t>
            </w:r>
            <w:proofErr w:type="spellEnd"/>
          </w:p>
        </w:tc>
        <w:tc>
          <w:tcPr>
            <w:tcW w:w="2550"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712.5</w:t>
            </w:r>
          </w:p>
        </w:tc>
        <w:tc>
          <w:tcPr>
            <w:tcW w:w="2552"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806.9</w:t>
            </w:r>
          </w:p>
        </w:tc>
      </w:tr>
      <w:tr w:rsidR="00FF13A7" w:rsidRPr="00E110B8" w:rsidTr="0047532B">
        <w:tc>
          <w:tcPr>
            <w:tcW w:w="1844" w:type="dxa"/>
            <w:vAlign w:val="center"/>
          </w:tcPr>
          <w:p w:rsidR="00FF13A7" w:rsidRPr="00BD5BCE" w:rsidRDefault="00FF13A7" w:rsidP="00FF13A7">
            <w:pPr>
              <w:pStyle w:val="TCTableBody"/>
              <w:jc w:val="center"/>
              <w:rPr>
                <w:shd w:val="clear" w:color="auto" w:fill="FFFFFF"/>
                <w:lang w:val="en-US"/>
              </w:rPr>
            </w:pPr>
            <w:r w:rsidRPr="00BD5BCE">
              <w:rPr>
                <w:shd w:val="clear" w:color="auto" w:fill="FFFFFF"/>
                <w:lang w:val="en-US"/>
              </w:rPr>
              <w:t>Asp</w:t>
            </w:r>
          </w:p>
        </w:tc>
        <w:tc>
          <w:tcPr>
            <w:tcW w:w="2550"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735.8</w:t>
            </w:r>
          </w:p>
        </w:tc>
        <w:tc>
          <w:tcPr>
            <w:tcW w:w="2552" w:type="dxa"/>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886.5</w:t>
            </w:r>
          </w:p>
        </w:tc>
      </w:tr>
      <w:tr w:rsidR="00FF13A7" w:rsidRPr="00E110B8" w:rsidTr="0047532B">
        <w:tc>
          <w:tcPr>
            <w:tcW w:w="1844" w:type="dxa"/>
            <w:tcBorders>
              <w:bottom w:val="single" w:sz="4" w:space="0" w:color="auto"/>
            </w:tcBorders>
            <w:vAlign w:val="center"/>
          </w:tcPr>
          <w:p w:rsidR="00FF13A7" w:rsidRPr="00BD5BCE" w:rsidRDefault="00FF13A7" w:rsidP="00FF13A7">
            <w:pPr>
              <w:pStyle w:val="TCTableBody"/>
              <w:jc w:val="center"/>
              <w:rPr>
                <w:shd w:val="clear" w:color="auto" w:fill="FFFFFF"/>
                <w:lang w:val="en-US"/>
              </w:rPr>
            </w:pPr>
            <w:proofErr w:type="spellStart"/>
            <w:r w:rsidRPr="00BD5BCE">
              <w:rPr>
                <w:shd w:val="clear" w:color="auto" w:fill="FFFFFF"/>
                <w:lang w:val="en-US"/>
              </w:rPr>
              <w:t>Glu</w:t>
            </w:r>
            <w:proofErr w:type="spellEnd"/>
          </w:p>
        </w:tc>
        <w:tc>
          <w:tcPr>
            <w:tcW w:w="2550"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735.8</w:t>
            </w:r>
          </w:p>
        </w:tc>
        <w:tc>
          <w:tcPr>
            <w:tcW w:w="2552" w:type="dxa"/>
            <w:tcBorders>
              <w:bottom w:val="single" w:sz="4" w:space="0" w:color="auto"/>
            </w:tcBorders>
            <w:vAlign w:val="center"/>
          </w:tcPr>
          <w:p w:rsidR="00FF13A7" w:rsidRPr="00177397" w:rsidRDefault="00FF13A7" w:rsidP="00FF13A7">
            <w:pPr>
              <w:pStyle w:val="TCTableBody"/>
              <w:jc w:val="center"/>
              <w:rPr>
                <w:shd w:val="clear" w:color="auto" w:fill="FFFFFF"/>
                <w:lang w:val="en-US"/>
              </w:rPr>
            </w:pPr>
            <w:r w:rsidRPr="00177397">
              <w:rPr>
                <w:shd w:val="clear" w:color="auto" w:fill="FFFFFF"/>
                <w:lang w:val="en-US"/>
              </w:rPr>
              <w:noBreakHyphen/>
              <w:t>871.7</w:t>
            </w:r>
          </w:p>
        </w:tc>
      </w:tr>
    </w:tbl>
    <w:p w:rsidR="00B37F16" w:rsidRDefault="00B37F16" w:rsidP="00B37F16">
      <w:pPr>
        <w:pStyle w:val="TAMainText"/>
      </w:pPr>
      <w:r>
        <w:t>Structure modeling of the “amino acid-TiO</w:t>
      </w:r>
      <w:r w:rsidRPr="00B37F16">
        <w:rPr>
          <w:vertAlign w:val="subscript"/>
        </w:rPr>
        <w:t>2</w:t>
      </w:r>
      <w:r>
        <w:t xml:space="preserve">” complexes for </w:t>
      </w:r>
      <w:proofErr w:type="spellStart"/>
      <w:r>
        <w:t>Gly</w:t>
      </w:r>
      <w:proofErr w:type="spellEnd"/>
      <w:r>
        <w:t xml:space="preserve">, </w:t>
      </w:r>
      <w:proofErr w:type="spellStart"/>
      <w:r>
        <w:t>Asn</w:t>
      </w:r>
      <w:proofErr w:type="spellEnd"/>
      <w:r>
        <w:t xml:space="preserve">, </w:t>
      </w:r>
      <w:proofErr w:type="spellStart"/>
      <w:r>
        <w:t>Arg</w:t>
      </w:r>
      <w:proofErr w:type="spellEnd"/>
      <w:r>
        <w:t>, Ala, and Asp showed that the ammonium group of the amino acid is embedded in the nanoparticle defect with the formation of two types of reduced contacts: two-center hydrogen bond and bifurcated hydrogen bond with titanium dioxide.</w:t>
      </w:r>
    </w:p>
    <w:p w:rsidR="00B37F16" w:rsidRDefault="00B37F16" w:rsidP="00B37F16">
      <w:pPr>
        <w:pStyle w:val="TAMainText"/>
      </w:pPr>
      <w:r>
        <w:t>In the case of glycine (</w:t>
      </w:r>
      <w:r w:rsidR="00AE1F4B">
        <w:rPr>
          <w:b/>
        </w:rPr>
        <w:t>Figure 8</w:t>
      </w:r>
      <w:r w:rsidRPr="00E5579F">
        <w:rPr>
          <w:b/>
        </w:rPr>
        <w:t>A</w:t>
      </w:r>
      <w:r>
        <w:t xml:space="preserve"> and </w:t>
      </w:r>
      <w:r w:rsidRPr="00E5579F">
        <w:rPr>
          <w:b/>
        </w:rPr>
        <w:t>B</w:t>
      </w:r>
      <w:r>
        <w:t>), two hydrogens of the ammonium group form bifurcated hydrogen bonds N</w:t>
      </w:r>
      <w:r>
        <w:noBreakHyphen/>
        <w:t>H</w:t>
      </w:r>
      <w:r w:rsidRPr="00B37F16">
        <w:rPr>
          <w:vertAlign w:val="superscript"/>
        </w:rPr>
        <w:t>...</w:t>
      </w:r>
      <w:r>
        <w:t>O with oxygens of titanium dioxide with intermolecular distances of 1.69</w:t>
      </w:r>
      <w:r w:rsidR="00D75364">
        <w:t> </w:t>
      </w:r>
      <w:r>
        <w:t>Å, 1.97</w:t>
      </w:r>
      <w:r w:rsidR="00D75364">
        <w:t> </w:t>
      </w:r>
      <w:r>
        <w:t>Å and 2.03</w:t>
      </w:r>
      <w:r w:rsidR="00D75364">
        <w:t> </w:t>
      </w:r>
      <w:r>
        <w:t>Å, 1.73</w:t>
      </w:r>
      <w:r w:rsidR="00D75364">
        <w:t> </w:t>
      </w:r>
      <w:r>
        <w:t>Å, respectively. Also, the ammonium group of glycine forms one two-centered hydrogen bond with titanium dioxide oxygen N</w:t>
      </w:r>
      <w:r>
        <w:noBreakHyphen/>
        <w:t>H</w:t>
      </w:r>
      <w:r w:rsidRPr="00B37F16">
        <w:rPr>
          <w:vertAlign w:val="superscript"/>
        </w:rPr>
        <w:t>...</w:t>
      </w:r>
      <w:r>
        <w:t>O, with an intermolecular distance of 1.71</w:t>
      </w:r>
      <w:r w:rsidR="00D75364">
        <w:t> </w:t>
      </w:r>
      <w:r>
        <w:t>Å.</w:t>
      </w:r>
    </w:p>
    <w:p w:rsidR="00B37F16" w:rsidRDefault="00B37F16" w:rsidP="00B37F16">
      <w:pPr>
        <w:pStyle w:val="TAMainText"/>
      </w:pPr>
      <w:r>
        <w:t>In the asparagine and arginine complexes with TiO</w:t>
      </w:r>
      <w:r w:rsidRPr="00B37F16">
        <w:rPr>
          <w:vertAlign w:val="subscript"/>
        </w:rPr>
        <w:t>2</w:t>
      </w:r>
      <w:r>
        <w:t>-nanoparticle (</w:t>
      </w:r>
      <w:r w:rsidR="00AE1F4B">
        <w:rPr>
          <w:b/>
        </w:rPr>
        <w:t>Figure 8</w:t>
      </w:r>
      <w:r w:rsidRPr="00E5579F">
        <w:rPr>
          <w:b/>
        </w:rPr>
        <w:t>C</w:t>
      </w:r>
      <w:r>
        <w:t xml:space="preserve">, </w:t>
      </w:r>
      <w:r w:rsidRPr="00E5579F">
        <w:rPr>
          <w:b/>
        </w:rPr>
        <w:t>D</w:t>
      </w:r>
      <w:r>
        <w:t xml:space="preserve">, and </w:t>
      </w:r>
      <w:r w:rsidRPr="00E5579F">
        <w:rPr>
          <w:b/>
        </w:rPr>
        <w:t>E</w:t>
      </w:r>
      <w:r>
        <w:t xml:space="preserve">, </w:t>
      </w:r>
      <w:r w:rsidRPr="00E5579F">
        <w:rPr>
          <w:b/>
        </w:rPr>
        <w:t>F</w:t>
      </w:r>
      <w:r>
        <w:t>) amino acid molecules are arranged in such a way that two hydrogens of the ammonium group form a hydrogen bond with the nanoparticle surface. Similarly, two hydrogens of amide and guanidine side functions form close two-centered contacts in asparagine and arginine, respectively.</w:t>
      </w:r>
    </w:p>
    <w:p w:rsidR="00EF627A" w:rsidRPr="00C96030" w:rsidRDefault="00B37F16" w:rsidP="00C96030">
      <w:pPr>
        <w:pStyle w:val="TAMainText"/>
      </w:pPr>
      <w:r>
        <w:t>The ammonium group of alanine (</w:t>
      </w:r>
      <w:r w:rsidR="00AE1F4B">
        <w:rPr>
          <w:b/>
        </w:rPr>
        <w:t>Figure 8</w:t>
      </w:r>
      <w:r w:rsidRPr="00E5579F">
        <w:rPr>
          <w:b/>
        </w:rPr>
        <w:t>G</w:t>
      </w:r>
      <w:r>
        <w:t xml:space="preserve"> and </w:t>
      </w:r>
      <w:r w:rsidRPr="00E5579F">
        <w:rPr>
          <w:b/>
        </w:rPr>
        <w:t>H</w:t>
      </w:r>
      <w:r>
        <w:t>) and aspartic acid (</w:t>
      </w:r>
      <w:r w:rsidR="00AE1F4B">
        <w:rPr>
          <w:b/>
        </w:rPr>
        <w:t>Figure 8</w:t>
      </w:r>
      <w:r w:rsidRPr="00E5579F">
        <w:rPr>
          <w:b/>
        </w:rPr>
        <w:t>I</w:t>
      </w:r>
      <w:r>
        <w:t xml:space="preserve"> and </w:t>
      </w:r>
      <w:r w:rsidRPr="00E5579F">
        <w:rPr>
          <w:b/>
        </w:rPr>
        <w:t>J</w:t>
      </w:r>
      <w:r>
        <w:t>) is oriented to oxygens of titanium dioxide, forming three two-centered hydrogen bonds. Aspartic acid forms four hydrogen bonds with oxygen atoms of nanoparticle through its ammonium group and side carboxylic groups with an intermolecular distance of 1.66</w:t>
      </w:r>
      <w:r w:rsidR="00D75364">
        <w:t> </w:t>
      </w:r>
      <w:r>
        <w:t>Å, 1.66</w:t>
      </w:r>
      <w:r w:rsidR="00D75364">
        <w:t> </w:t>
      </w:r>
      <w:r>
        <w:t>Å, 1.72</w:t>
      </w:r>
      <w:r w:rsidR="00D75364">
        <w:t> </w:t>
      </w:r>
      <w:r>
        <w:t>Å, and 2.40</w:t>
      </w:r>
      <w:r w:rsidR="00E5579F">
        <w:t> </w:t>
      </w:r>
      <w:r>
        <w:t>Å, respectively. Ammonium group acts as a major binding site in agreement with previous XPS spectroscopic study.</w:t>
      </w:r>
      <w:r w:rsidR="00D8484A">
        <w:fldChar w:fldCharType="begin" w:fldLock="1"/>
      </w:r>
      <w:r w:rsidR="00773999">
        <w:instrText>ADDIN CSL_CITATION {"citationItems":[{"id":"ITEM-1","itemData":{"DOI":"10.1021/la00009a034","ISBN":"0743-7463","ISSN":"07437463","abstract":"The adsorption of L-aspartic acid (AA) at the TiO2-KNO3 aqueous solution interface was studied as a function of pH and electrolyte concentration using direct adsorption, OH- desorption, electrophoresis, and XPS measurements. A multisites surface complexation model was used to describe the charging and adsorptive behavior of the particles. Adsorption and electrophoretic data show that the amino acid uptake is characteristic of adsorbing anions and almost ionic strength independent. Although XPS data indicates that AA interacts with TiO2 surface sites through the amino groups, neither XPS nor kinetic results give conclusive evidence for the adsorption mechanism (ligand exchange or hydrogen bonding). Model calculations together with OH- desorption data, however, allow us to conclude that ligand exchange reactions, by which AA forms inner sphere surface complexes, take place. The model also predicts that only terminal (TiOH) groups react with AA. The results exemplify the usefulness of modeling when a quite complete set of experimental data cannot elucidate the type of reaction taking place between the solute and the surface. ? 1995 American Chemical Society.","author":[{"dropping-particle":"","family":"Giacomelli","given":"Ce","non-dropping-particle":"","parse-names":false,"suffix":""},{"dropping-particle":"","family":"Avena","given":"Mj","non-dropping-particle":"","parse-names":false,"suffix":""},{"dropping-particle":"De","family":"Pauli","given":"Cp","non-dropping-particle":"","parse-names":false,"suffix":""}],"container-title":"Langmuir","id":"ITEM-1","issue":"16","issued":{"date-parts":[["1995"]]},"page":"3483-3490","title":"Aspartic acid adsorption onto TiO2 particles surface. Experimental data and model calculations","type":"article-journal"},"uris":["http://www.mendeley.com/documents/?uuid=41443f5f-0de6-4fc5-ae1b-5c6a20a9606c"]}],"mendeley":{"formattedCitation":"&lt;sup&gt;21&lt;/sup&gt;","plainTextFormattedCitation":"21","previouslyFormattedCitation":"&lt;sup&gt;21&lt;/sup&gt;"},"properties":{"noteIndex":0},"schema":"https://github.com/citation-style-language/schema/raw/master/csl-citation.json"}</w:instrText>
      </w:r>
      <w:r w:rsidR="00D8484A">
        <w:fldChar w:fldCharType="separate"/>
      </w:r>
      <w:r w:rsidR="009917B5" w:rsidRPr="009917B5">
        <w:rPr>
          <w:noProof/>
          <w:vertAlign w:val="superscript"/>
        </w:rPr>
        <w:t>21</w:t>
      </w:r>
      <w:r w:rsidR="00D8484A">
        <w:fldChar w:fldCharType="end"/>
      </w:r>
      <w:r>
        <w:t xml:space="preserve"> Its side carboxylic group forms intramolecular hydrogen bond </w:t>
      </w:r>
      <w:r>
        <w:lastRenderedPageBreak/>
        <w:t>(1.78</w:t>
      </w:r>
      <w:r w:rsidR="00E5579F">
        <w:t> </w:t>
      </w:r>
      <w:r>
        <w:t>Å) stabilizing the complex, and we</w:t>
      </w:r>
      <w:r w:rsidR="00E5579F">
        <w:t>a</w:t>
      </w:r>
      <w:r>
        <w:t xml:space="preserve">k bond with surface oxygen, as previously was reported by </w:t>
      </w:r>
      <w:proofErr w:type="spellStart"/>
      <w:r>
        <w:t>Pászti</w:t>
      </w:r>
      <w:proofErr w:type="spellEnd"/>
      <w:r>
        <w:t xml:space="preserve"> et al.</w:t>
      </w:r>
      <w:r w:rsidR="00D8484A">
        <w:fldChar w:fldCharType="begin" w:fldLock="1"/>
      </w:r>
      <w:r w:rsidR="00773999">
        <w:instrText>ADDIN CSL_CITATION {"citationItems":[{"id":"ITEM-1","itemData":{"DOI":"10.1016/j.vibspec.2008.07.014","ISSN":"09242031","abstract":"Sum frequency generation vibrational spectroscopy (SFG) is a powerful tool for in situ investigation of adsorption processes at biologically important solid-liquid interfaces. In this work adsorption of different amino acids was investigated by SFG at the titanium-dioxide-amino acid solution interface. While both naturally occurring acidic amino acids, aspartic acid and glutamic acid, were found to form an ordered adsorbate layer, amino acids with non-acidic side chains exhibited little affinity towards TiO2. A detailed study of aspartic acid on TiO2 pointed out that both carboxylic groups of the molecule are coordinated to the surface; data taken in the carboxyl stretching frequency range revealed that one of them is bonded monodentally to a surface Ti ion, while the other is most probably stabilized by a hydrogen bond. The results indicate that the acidic side chain is the prerequisite of the formation of a stable, ordered amino acid adsorbate layer on TiO2. © 2008 Elsevier B.V. All rights reserved.","author":[{"dropping-particle":"","family":"Pászti","given":"Z.","non-dropping-particle":"","parse-names":false,"suffix":""},{"dropping-particle":"","family":"Guczi","given":"L.","non-dropping-particle":"","parse-names":false,"suffix":""}],"container-title":"Vibrational Spectroscopy","id":"ITEM-1","issue":"1","issued":{"date-parts":[["2009"]]},"page":"48-56","title":"Amino acid adsorption on hydrophilic TiO2: A sum frequency generation vibrational spectroscopy study","type":"article-journal","volume":"50"},"uris":["http://www.mendeley.com/documents/?uuid=8e0ce918-1e74-4338-aea7-0918f3702c44"]}],"mendeley":{"formattedCitation":"&lt;sup&gt;18&lt;/sup&gt;","plainTextFormattedCitation":"18","previouslyFormattedCitation":"&lt;sup&gt;18&lt;/sup&gt;"},"properties":{"noteIndex":0},"schema":"https://github.com/citation-style-language/schema/raw/master/csl-citation.json"}</w:instrText>
      </w:r>
      <w:r w:rsidR="00D8484A">
        <w:fldChar w:fldCharType="separate"/>
      </w:r>
      <w:r w:rsidR="009917B5" w:rsidRPr="009917B5">
        <w:rPr>
          <w:noProof/>
          <w:vertAlign w:val="superscript"/>
        </w:rPr>
        <w:t>18</w:t>
      </w:r>
      <w:r w:rsidR="00D8484A">
        <w:fldChar w:fldCharType="end"/>
      </w:r>
      <w:r>
        <w:t xml:space="preserve"> The </w:t>
      </w:r>
      <w:r w:rsidRPr="00E5579F">
        <w:rPr>
          <w:i/>
        </w:rPr>
        <w:t>α</w:t>
      </w:r>
      <w:r>
        <w:t>-carboxyl group remains open for interaction with the second layer of amino acids (</w:t>
      </w:r>
      <w:r w:rsidR="00AE1F4B">
        <w:rPr>
          <w:b/>
        </w:rPr>
        <w:t>Figure 8</w:t>
      </w:r>
      <w:r w:rsidRPr="00E5579F">
        <w:rPr>
          <w:b/>
        </w:rPr>
        <w:t>I</w:t>
      </w:r>
      <w:r>
        <w:t xml:space="preserve"> and </w:t>
      </w:r>
      <w:r w:rsidRPr="00E5579F">
        <w:rPr>
          <w:b/>
        </w:rPr>
        <w:t>J</w:t>
      </w:r>
      <w:r>
        <w:t>).</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9"/>
        <w:gridCol w:w="5776"/>
      </w:tblGrid>
      <w:tr w:rsidR="0047532B" w:rsidRPr="00020CBE" w:rsidTr="0047532B">
        <w:tc>
          <w:tcPr>
            <w:tcW w:w="9345" w:type="dxa"/>
            <w:gridSpan w:val="2"/>
          </w:tcPr>
          <w:p w:rsidR="0047532B" w:rsidRPr="0047532B" w:rsidRDefault="0047532B" w:rsidP="0047532B">
            <w:pPr>
              <w:pStyle w:val="TCTableBody"/>
              <w:jc w:val="center"/>
              <w:rPr>
                <w:b/>
                <w:shd w:val="clear" w:color="auto" w:fill="FFFFFF"/>
                <w:lang w:val="en-US"/>
              </w:rPr>
            </w:pPr>
            <w:proofErr w:type="spellStart"/>
            <w:r w:rsidRPr="0047532B">
              <w:rPr>
                <w:b/>
                <w:shd w:val="clear" w:color="auto" w:fill="FFFFFF"/>
                <w:lang w:val="en-US"/>
              </w:rPr>
              <w:t>Gly</w:t>
            </w:r>
            <w:proofErr w:type="spellEnd"/>
          </w:p>
        </w:tc>
      </w:tr>
      <w:tr w:rsidR="0047532B" w:rsidRPr="00020CBE" w:rsidTr="0047532B">
        <w:tc>
          <w:tcPr>
            <w:tcW w:w="3569"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rPr>
            </w:pPr>
            <w:r>
              <w:rPr>
                <w:rFonts w:ascii="Calibri" w:eastAsia="Calibri" w:hAnsi="Calibri"/>
                <w:noProof/>
                <w:lang w:eastAsia="ru-RU"/>
              </w:rPr>
              <w:drawing>
                <wp:inline distT="0" distB="0" distL="0" distR="0" wp14:anchorId="7B253D8D" wp14:editId="5EB73D63">
                  <wp:extent cx="1800000" cy="1662523"/>
                  <wp:effectExtent l="19050" t="0" r="0" b="0"/>
                  <wp:docPr id="29" name="Рисунок 29" descr="C:\Users\7\Desktop\Figures for pub Lagmuir\Figure 6\Gly-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Desktop\Figures for pub Lagmuir\Figure 6\Gly-A.tif"/>
                          <pic:cNvPicPr>
                            <a:picLocks noChangeAspect="1" noChangeArrowheads="1"/>
                          </pic:cNvPicPr>
                        </pic:nvPicPr>
                        <pic:blipFill>
                          <a:blip r:embed="rId60" cstate="print"/>
                          <a:srcRect/>
                          <a:stretch>
                            <a:fillRect/>
                          </a:stretch>
                        </pic:blipFill>
                        <pic:spPr bwMode="auto">
                          <a:xfrm>
                            <a:off x="0" y="0"/>
                            <a:ext cx="1800000" cy="1662523"/>
                          </a:xfrm>
                          <a:prstGeom prst="rect">
                            <a:avLst/>
                          </a:prstGeom>
                          <a:noFill/>
                          <a:ln w="9525">
                            <a:noFill/>
                            <a:miter lim="800000"/>
                            <a:headEnd/>
                            <a:tailEnd/>
                          </a:ln>
                        </pic:spPr>
                      </pic:pic>
                    </a:graphicData>
                  </a:graphic>
                </wp:inline>
              </w:drawing>
            </w:r>
          </w:p>
        </w:tc>
        <w:tc>
          <w:tcPr>
            <w:tcW w:w="5776"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rPr>
            </w:pPr>
            <w:r>
              <w:rPr>
                <w:rFonts w:ascii="Calibri" w:eastAsia="Calibri" w:hAnsi="Calibri"/>
                <w:noProof/>
                <w:lang w:eastAsia="ru-RU"/>
              </w:rPr>
              <w:drawing>
                <wp:inline distT="0" distB="0" distL="0" distR="0" wp14:anchorId="36BADFD9" wp14:editId="3A2A5C5A">
                  <wp:extent cx="2940513" cy="1663200"/>
                  <wp:effectExtent l="19050" t="0" r="0" b="0"/>
                  <wp:docPr id="30" name="Рисунок 30" descr="C:\Users\7\Desktop\Figures for pub Lagmuir\Figure 6\Gly-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7\Desktop\Figures for pub Lagmuir\Figure 6\Gly-B.tif"/>
                          <pic:cNvPicPr>
                            <a:picLocks noChangeAspect="1" noChangeArrowheads="1"/>
                          </pic:cNvPicPr>
                        </pic:nvPicPr>
                        <pic:blipFill>
                          <a:blip r:embed="rId61" cstate="print"/>
                          <a:srcRect/>
                          <a:stretch>
                            <a:fillRect/>
                          </a:stretch>
                        </pic:blipFill>
                        <pic:spPr bwMode="auto">
                          <a:xfrm>
                            <a:off x="0" y="0"/>
                            <a:ext cx="2940513" cy="1663200"/>
                          </a:xfrm>
                          <a:prstGeom prst="rect">
                            <a:avLst/>
                          </a:prstGeom>
                          <a:noFill/>
                          <a:ln w="9525">
                            <a:noFill/>
                            <a:miter lim="800000"/>
                            <a:headEnd/>
                            <a:tailEnd/>
                          </a:ln>
                        </pic:spPr>
                      </pic:pic>
                    </a:graphicData>
                  </a:graphic>
                </wp:inline>
              </w:drawing>
            </w:r>
          </w:p>
        </w:tc>
      </w:tr>
      <w:tr w:rsidR="0047532B" w:rsidRPr="00020CBE" w:rsidTr="0047532B">
        <w:tc>
          <w:tcPr>
            <w:tcW w:w="3569" w:type="dxa"/>
            <w:vAlign w:val="center"/>
          </w:tcPr>
          <w:p w:rsidR="0047532B" w:rsidRPr="00C96030" w:rsidRDefault="0047532B" w:rsidP="00C96030">
            <w:pPr>
              <w:pStyle w:val="TCTableBody"/>
              <w:jc w:val="center"/>
            </w:pPr>
            <w:r w:rsidRPr="00C96030">
              <w:t>A</w:t>
            </w:r>
          </w:p>
        </w:tc>
        <w:tc>
          <w:tcPr>
            <w:tcW w:w="5776" w:type="dxa"/>
            <w:vAlign w:val="center"/>
          </w:tcPr>
          <w:p w:rsidR="0047532B" w:rsidRPr="00C96030" w:rsidRDefault="0047532B" w:rsidP="00C96030">
            <w:pPr>
              <w:pStyle w:val="TCTableBody"/>
              <w:jc w:val="center"/>
            </w:pPr>
            <w:r w:rsidRPr="00C96030">
              <w:t>B</w:t>
            </w:r>
          </w:p>
        </w:tc>
      </w:tr>
      <w:tr w:rsidR="0047532B" w:rsidRPr="00020CBE" w:rsidTr="0047532B">
        <w:tc>
          <w:tcPr>
            <w:tcW w:w="9345" w:type="dxa"/>
            <w:gridSpan w:val="2"/>
          </w:tcPr>
          <w:p w:rsidR="0047532B" w:rsidRPr="00C96030" w:rsidRDefault="0047532B" w:rsidP="00C96030">
            <w:pPr>
              <w:pStyle w:val="TCTableBody"/>
              <w:jc w:val="center"/>
              <w:rPr>
                <w:b/>
              </w:rPr>
            </w:pPr>
            <w:r w:rsidRPr="00C96030">
              <w:rPr>
                <w:b/>
              </w:rPr>
              <w:t>Asn</w:t>
            </w:r>
          </w:p>
        </w:tc>
      </w:tr>
      <w:tr w:rsidR="0047532B" w:rsidRPr="00020CBE" w:rsidTr="0047532B">
        <w:trPr>
          <w:trHeight w:val="2786"/>
        </w:trPr>
        <w:tc>
          <w:tcPr>
            <w:tcW w:w="3569"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rPr>
            </w:pPr>
            <w:r w:rsidRPr="002A1A7D">
              <w:rPr>
                <w:rFonts w:ascii="Calibri" w:eastAsia="Calibri" w:hAnsi="Calibri"/>
                <w:noProof/>
                <w:lang w:eastAsia="ru-RU"/>
              </w:rPr>
              <w:drawing>
                <wp:inline distT="0" distB="0" distL="0" distR="0" wp14:anchorId="0625BE58" wp14:editId="7103DAAE">
                  <wp:extent cx="1603433" cy="1800000"/>
                  <wp:effectExtent l="19050" t="0" r="0" b="0"/>
                  <wp:docPr id="5" name="Рисунок 0" descr="As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n-A.tif"/>
                          <pic:cNvPicPr/>
                        </pic:nvPicPr>
                        <pic:blipFill>
                          <a:blip r:embed="rId62" cstate="print"/>
                          <a:stretch>
                            <a:fillRect/>
                          </a:stretch>
                        </pic:blipFill>
                        <pic:spPr>
                          <a:xfrm>
                            <a:off x="0" y="0"/>
                            <a:ext cx="1603433" cy="1800000"/>
                          </a:xfrm>
                          <a:prstGeom prst="rect">
                            <a:avLst/>
                          </a:prstGeom>
                        </pic:spPr>
                      </pic:pic>
                    </a:graphicData>
                  </a:graphic>
                </wp:inline>
              </w:drawing>
            </w:r>
          </w:p>
        </w:tc>
        <w:tc>
          <w:tcPr>
            <w:tcW w:w="5776"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rPr>
            </w:pPr>
            <w:r w:rsidRPr="002A1A7D">
              <w:rPr>
                <w:rFonts w:ascii="Calibri" w:eastAsia="Calibri" w:hAnsi="Calibri"/>
                <w:noProof/>
                <w:lang w:eastAsia="ru-RU"/>
              </w:rPr>
              <w:drawing>
                <wp:inline distT="0" distB="0" distL="0" distR="0" wp14:anchorId="3BE94590" wp14:editId="7F1E84FE">
                  <wp:extent cx="2941200" cy="1617438"/>
                  <wp:effectExtent l="19050" t="0" r="0" b="0"/>
                  <wp:docPr id="6" name="Рисунок 2" descr="Asn-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n-B.tif"/>
                          <pic:cNvPicPr/>
                        </pic:nvPicPr>
                        <pic:blipFill>
                          <a:blip r:embed="rId63" cstate="print"/>
                          <a:stretch>
                            <a:fillRect/>
                          </a:stretch>
                        </pic:blipFill>
                        <pic:spPr>
                          <a:xfrm>
                            <a:off x="0" y="0"/>
                            <a:ext cx="2941200" cy="1617438"/>
                          </a:xfrm>
                          <a:prstGeom prst="rect">
                            <a:avLst/>
                          </a:prstGeom>
                        </pic:spPr>
                      </pic:pic>
                    </a:graphicData>
                  </a:graphic>
                </wp:inline>
              </w:drawing>
            </w:r>
          </w:p>
        </w:tc>
      </w:tr>
      <w:tr w:rsidR="0047532B" w:rsidRPr="00020CBE" w:rsidTr="0047532B">
        <w:tc>
          <w:tcPr>
            <w:tcW w:w="3569" w:type="dxa"/>
            <w:vAlign w:val="center"/>
          </w:tcPr>
          <w:p w:rsidR="0047532B" w:rsidRPr="00C96030" w:rsidRDefault="0047532B" w:rsidP="00C96030">
            <w:pPr>
              <w:pStyle w:val="TCTableBody"/>
              <w:jc w:val="center"/>
            </w:pPr>
            <w:r w:rsidRPr="00C96030">
              <w:t>C</w:t>
            </w:r>
          </w:p>
        </w:tc>
        <w:tc>
          <w:tcPr>
            <w:tcW w:w="5776" w:type="dxa"/>
            <w:vAlign w:val="center"/>
          </w:tcPr>
          <w:p w:rsidR="0047532B" w:rsidRPr="00C96030" w:rsidRDefault="0047532B" w:rsidP="00C96030">
            <w:pPr>
              <w:pStyle w:val="TCTableBody"/>
              <w:jc w:val="center"/>
            </w:pPr>
            <w:r w:rsidRPr="00C96030">
              <w:t>D</w:t>
            </w:r>
          </w:p>
        </w:tc>
      </w:tr>
      <w:tr w:rsidR="0047532B" w:rsidRPr="00020CBE" w:rsidTr="0047532B">
        <w:tc>
          <w:tcPr>
            <w:tcW w:w="9345" w:type="dxa"/>
            <w:gridSpan w:val="2"/>
          </w:tcPr>
          <w:p w:rsidR="0047532B" w:rsidRPr="00C96030" w:rsidRDefault="0047532B" w:rsidP="00C96030">
            <w:pPr>
              <w:pStyle w:val="TCTableBody"/>
              <w:jc w:val="center"/>
              <w:rPr>
                <w:b/>
              </w:rPr>
            </w:pPr>
            <w:r w:rsidRPr="00C96030">
              <w:rPr>
                <w:b/>
              </w:rPr>
              <w:t>Arg</w:t>
            </w:r>
          </w:p>
        </w:tc>
      </w:tr>
      <w:tr w:rsidR="0047532B" w:rsidRPr="00020CBE" w:rsidTr="00FD5D52">
        <w:trPr>
          <w:trHeight w:val="3660"/>
        </w:trPr>
        <w:tc>
          <w:tcPr>
            <w:tcW w:w="3569"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rPr>
            </w:pPr>
            <w:r>
              <w:rPr>
                <w:rFonts w:ascii="Times New Roman" w:eastAsia="Calibri" w:hAnsi="Times New Roman"/>
                <w:bCs/>
                <w:noProof/>
                <w:color w:val="000000"/>
                <w:szCs w:val="24"/>
                <w:shd w:val="clear" w:color="auto" w:fill="FFFFFF"/>
                <w:lang w:eastAsia="ru-RU"/>
              </w:rPr>
              <w:lastRenderedPageBreak/>
              <w:drawing>
                <wp:inline distT="0" distB="0" distL="0" distR="0" wp14:anchorId="50E102C0" wp14:editId="633370F7">
                  <wp:extent cx="1773424" cy="1800000"/>
                  <wp:effectExtent l="19050" t="0" r="0" b="0"/>
                  <wp:docPr id="7" name="Рисунок 6" descr="Ar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A.tif"/>
                          <pic:cNvPicPr/>
                        </pic:nvPicPr>
                        <pic:blipFill>
                          <a:blip r:embed="rId64" cstate="print"/>
                          <a:stretch>
                            <a:fillRect/>
                          </a:stretch>
                        </pic:blipFill>
                        <pic:spPr>
                          <a:xfrm>
                            <a:off x="0" y="0"/>
                            <a:ext cx="1773424" cy="1800000"/>
                          </a:xfrm>
                          <a:prstGeom prst="rect">
                            <a:avLst/>
                          </a:prstGeom>
                        </pic:spPr>
                      </pic:pic>
                    </a:graphicData>
                  </a:graphic>
                </wp:inline>
              </w:drawing>
            </w:r>
          </w:p>
        </w:tc>
        <w:tc>
          <w:tcPr>
            <w:tcW w:w="5776"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rPr>
            </w:pPr>
            <w:r>
              <w:rPr>
                <w:rFonts w:ascii="Times New Roman" w:eastAsia="Calibri" w:hAnsi="Times New Roman"/>
                <w:bCs/>
                <w:noProof/>
                <w:color w:val="000000"/>
                <w:szCs w:val="24"/>
                <w:shd w:val="clear" w:color="auto" w:fill="FFFFFF"/>
                <w:lang w:eastAsia="ru-RU"/>
              </w:rPr>
              <w:drawing>
                <wp:inline distT="0" distB="0" distL="0" distR="0" wp14:anchorId="47819F2D" wp14:editId="52C46D52">
                  <wp:extent cx="2941200" cy="1559565"/>
                  <wp:effectExtent l="19050" t="0" r="0" b="0"/>
                  <wp:docPr id="9" name="Рисунок 8" descr="A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B.tif"/>
                          <pic:cNvPicPr/>
                        </pic:nvPicPr>
                        <pic:blipFill>
                          <a:blip r:embed="rId65" cstate="print"/>
                          <a:stretch>
                            <a:fillRect/>
                          </a:stretch>
                        </pic:blipFill>
                        <pic:spPr>
                          <a:xfrm>
                            <a:off x="0" y="0"/>
                            <a:ext cx="2941200" cy="1559565"/>
                          </a:xfrm>
                          <a:prstGeom prst="rect">
                            <a:avLst/>
                          </a:prstGeom>
                        </pic:spPr>
                      </pic:pic>
                    </a:graphicData>
                  </a:graphic>
                </wp:inline>
              </w:drawing>
            </w:r>
          </w:p>
        </w:tc>
      </w:tr>
      <w:tr w:rsidR="0047532B" w:rsidRPr="00020CBE" w:rsidTr="00FD5D52">
        <w:trPr>
          <w:trHeight w:val="722"/>
        </w:trPr>
        <w:tc>
          <w:tcPr>
            <w:tcW w:w="3569" w:type="dxa"/>
            <w:vAlign w:val="center"/>
          </w:tcPr>
          <w:p w:rsidR="0047532B" w:rsidRPr="00C96030" w:rsidRDefault="0047532B" w:rsidP="00C96030">
            <w:pPr>
              <w:pStyle w:val="TCTableBody"/>
              <w:jc w:val="center"/>
            </w:pPr>
            <w:r w:rsidRPr="00C96030">
              <w:t>E</w:t>
            </w:r>
          </w:p>
        </w:tc>
        <w:tc>
          <w:tcPr>
            <w:tcW w:w="5776" w:type="dxa"/>
            <w:vAlign w:val="center"/>
          </w:tcPr>
          <w:p w:rsidR="0047532B" w:rsidRPr="00C96030" w:rsidRDefault="0047532B" w:rsidP="00C96030">
            <w:pPr>
              <w:pStyle w:val="TCTableBody"/>
              <w:jc w:val="center"/>
            </w:pPr>
            <w:r w:rsidRPr="00C96030">
              <w:t>F</w:t>
            </w:r>
          </w:p>
        </w:tc>
      </w:tr>
      <w:tr w:rsidR="0047532B" w:rsidRPr="00020CBE" w:rsidTr="0047532B">
        <w:tc>
          <w:tcPr>
            <w:tcW w:w="9345" w:type="dxa"/>
            <w:gridSpan w:val="2"/>
          </w:tcPr>
          <w:p w:rsidR="0047532B" w:rsidRPr="00C96030" w:rsidRDefault="0047532B" w:rsidP="00C96030">
            <w:pPr>
              <w:pStyle w:val="TCTableBody"/>
              <w:jc w:val="center"/>
              <w:rPr>
                <w:b/>
              </w:rPr>
            </w:pPr>
            <w:r w:rsidRPr="00C96030">
              <w:rPr>
                <w:b/>
              </w:rPr>
              <w:t>Ala</w:t>
            </w:r>
          </w:p>
        </w:tc>
      </w:tr>
      <w:tr w:rsidR="0047532B" w:rsidRPr="00020CBE" w:rsidTr="0047532B">
        <w:tc>
          <w:tcPr>
            <w:tcW w:w="3569"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rPr>
            </w:pPr>
            <w:r>
              <w:rPr>
                <w:rFonts w:ascii="Times New Roman" w:eastAsia="Calibri" w:hAnsi="Times New Roman"/>
                <w:bCs/>
                <w:noProof/>
                <w:color w:val="000000"/>
                <w:szCs w:val="24"/>
                <w:shd w:val="clear" w:color="auto" w:fill="FFFFFF"/>
                <w:lang w:eastAsia="ru-RU"/>
              </w:rPr>
              <w:drawing>
                <wp:inline distT="0" distB="0" distL="0" distR="0" wp14:anchorId="54A2B2D0" wp14:editId="00B2AF1B">
                  <wp:extent cx="1593311" cy="1800000"/>
                  <wp:effectExtent l="19050" t="0" r="6889" b="0"/>
                  <wp:docPr id="13" name="Рисунок 12" descr="Al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A.tif"/>
                          <pic:cNvPicPr/>
                        </pic:nvPicPr>
                        <pic:blipFill>
                          <a:blip r:embed="rId66" cstate="print"/>
                          <a:stretch>
                            <a:fillRect/>
                          </a:stretch>
                        </pic:blipFill>
                        <pic:spPr>
                          <a:xfrm>
                            <a:off x="0" y="0"/>
                            <a:ext cx="1593311" cy="1800000"/>
                          </a:xfrm>
                          <a:prstGeom prst="rect">
                            <a:avLst/>
                          </a:prstGeom>
                        </pic:spPr>
                      </pic:pic>
                    </a:graphicData>
                  </a:graphic>
                </wp:inline>
              </w:drawing>
            </w:r>
          </w:p>
        </w:tc>
        <w:tc>
          <w:tcPr>
            <w:tcW w:w="5776"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rPr>
            </w:pPr>
            <w:r>
              <w:rPr>
                <w:rFonts w:ascii="Times New Roman" w:eastAsia="Calibri" w:hAnsi="Times New Roman"/>
                <w:bCs/>
                <w:noProof/>
                <w:color w:val="000000"/>
                <w:szCs w:val="24"/>
                <w:shd w:val="clear" w:color="auto" w:fill="FFFFFF"/>
                <w:lang w:eastAsia="ru-RU"/>
              </w:rPr>
              <w:drawing>
                <wp:inline distT="0" distB="0" distL="0" distR="0" wp14:anchorId="61F4549B" wp14:editId="755EA82E">
                  <wp:extent cx="2941200" cy="1572888"/>
                  <wp:effectExtent l="19050" t="0" r="0" b="0"/>
                  <wp:docPr id="14" name="Рисунок 13" descr="Al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B.tif"/>
                          <pic:cNvPicPr/>
                        </pic:nvPicPr>
                        <pic:blipFill>
                          <a:blip r:embed="rId67" cstate="print"/>
                          <a:stretch>
                            <a:fillRect/>
                          </a:stretch>
                        </pic:blipFill>
                        <pic:spPr>
                          <a:xfrm>
                            <a:off x="0" y="0"/>
                            <a:ext cx="2941200" cy="1572888"/>
                          </a:xfrm>
                          <a:prstGeom prst="rect">
                            <a:avLst/>
                          </a:prstGeom>
                        </pic:spPr>
                      </pic:pic>
                    </a:graphicData>
                  </a:graphic>
                </wp:inline>
              </w:drawing>
            </w:r>
          </w:p>
        </w:tc>
      </w:tr>
      <w:tr w:rsidR="0047532B" w:rsidRPr="00020CBE" w:rsidTr="0047532B">
        <w:tc>
          <w:tcPr>
            <w:tcW w:w="3569" w:type="dxa"/>
            <w:vAlign w:val="center"/>
          </w:tcPr>
          <w:p w:rsidR="0047532B" w:rsidRPr="00C96030" w:rsidRDefault="0047532B" w:rsidP="00C96030">
            <w:pPr>
              <w:pStyle w:val="TCTableBody"/>
              <w:jc w:val="center"/>
            </w:pPr>
            <w:r w:rsidRPr="00C96030">
              <w:t>G</w:t>
            </w:r>
          </w:p>
        </w:tc>
        <w:tc>
          <w:tcPr>
            <w:tcW w:w="5776" w:type="dxa"/>
            <w:vAlign w:val="center"/>
          </w:tcPr>
          <w:p w:rsidR="0047532B" w:rsidRPr="00C96030" w:rsidRDefault="0047532B" w:rsidP="00C96030">
            <w:pPr>
              <w:pStyle w:val="TCTableBody"/>
              <w:jc w:val="center"/>
            </w:pPr>
            <w:r w:rsidRPr="00C96030">
              <w:t>H</w:t>
            </w:r>
          </w:p>
        </w:tc>
      </w:tr>
      <w:tr w:rsidR="0047532B" w:rsidRPr="00020CBE" w:rsidTr="0047532B">
        <w:tc>
          <w:tcPr>
            <w:tcW w:w="9345" w:type="dxa"/>
            <w:gridSpan w:val="2"/>
            <w:vAlign w:val="center"/>
          </w:tcPr>
          <w:p w:rsidR="0047532B" w:rsidRPr="0047532B" w:rsidRDefault="0047532B" w:rsidP="0047532B">
            <w:pPr>
              <w:pStyle w:val="TCTableBody"/>
              <w:jc w:val="center"/>
              <w:rPr>
                <w:b/>
              </w:rPr>
            </w:pPr>
            <w:r w:rsidRPr="0047532B">
              <w:rPr>
                <w:b/>
              </w:rPr>
              <w:t>Asp</w:t>
            </w:r>
          </w:p>
        </w:tc>
      </w:tr>
      <w:tr w:rsidR="0047532B" w:rsidRPr="00020CBE" w:rsidTr="0047532B">
        <w:tc>
          <w:tcPr>
            <w:tcW w:w="3569"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lang w:val="en-US"/>
              </w:rPr>
            </w:pPr>
            <w:r>
              <w:rPr>
                <w:rFonts w:ascii="Times New Roman" w:eastAsia="Calibri" w:hAnsi="Times New Roman"/>
                <w:bCs/>
                <w:noProof/>
                <w:color w:val="000000"/>
                <w:szCs w:val="24"/>
                <w:shd w:val="clear" w:color="auto" w:fill="FFFFFF"/>
                <w:lang w:eastAsia="ru-RU"/>
              </w:rPr>
              <w:drawing>
                <wp:inline distT="0" distB="0" distL="0" distR="0" wp14:anchorId="4B66EB44" wp14:editId="465C619A">
                  <wp:extent cx="1800000" cy="1674606"/>
                  <wp:effectExtent l="19050" t="0" r="0" b="0"/>
                  <wp:docPr id="15" name="Рисунок 14" descr="As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A.tif"/>
                          <pic:cNvPicPr/>
                        </pic:nvPicPr>
                        <pic:blipFill>
                          <a:blip r:embed="rId68" cstate="print"/>
                          <a:stretch>
                            <a:fillRect/>
                          </a:stretch>
                        </pic:blipFill>
                        <pic:spPr>
                          <a:xfrm>
                            <a:off x="0" y="0"/>
                            <a:ext cx="1800000" cy="1674606"/>
                          </a:xfrm>
                          <a:prstGeom prst="rect">
                            <a:avLst/>
                          </a:prstGeom>
                        </pic:spPr>
                      </pic:pic>
                    </a:graphicData>
                  </a:graphic>
                </wp:inline>
              </w:drawing>
            </w:r>
          </w:p>
        </w:tc>
        <w:tc>
          <w:tcPr>
            <w:tcW w:w="5776" w:type="dxa"/>
            <w:vAlign w:val="center"/>
          </w:tcPr>
          <w:p w:rsidR="0047532B" w:rsidRPr="00020CBE" w:rsidRDefault="0047532B" w:rsidP="0047532B">
            <w:pPr>
              <w:jc w:val="center"/>
              <w:rPr>
                <w:rFonts w:ascii="Times New Roman" w:eastAsia="Calibri" w:hAnsi="Times New Roman" w:cs="Times New Roman"/>
                <w:bCs/>
                <w:color w:val="000000"/>
                <w:szCs w:val="24"/>
                <w:shd w:val="clear" w:color="auto" w:fill="FFFFFF"/>
                <w:lang w:val="en-US"/>
              </w:rPr>
            </w:pPr>
            <w:r>
              <w:rPr>
                <w:rFonts w:ascii="Times New Roman" w:eastAsia="Calibri" w:hAnsi="Times New Roman"/>
                <w:bCs/>
                <w:noProof/>
                <w:color w:val="000000"/>
                <w:szCs w:val="24"/>
                <w:shd w:val="clear" w:color="auto" w:fill="FFFFFF"/>
                <w:lang w:eastAsia="ru-RU"/>
              </w:rPr>
              <w:drawing>
                <wp:inline distT="0" distB="0" distL="0" distR="0" wp14:anchorId="611918E0" wp14:editId="1ADC319A">
                  <wp:extent cx="2941200" cy="1345405"/>
                  <wp:effectExtent l="19050" t="0" r="0" b="0"/>
                  <wp:docPr id="16" name="Рисунок 15" descr="Asp-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B.tif"/>
                          <pic:cNvPicPr/>
                        </pic:nvPicPr>
                        <pic:blipFill>
                          <a:blip r:embed="rId69" cstate="print"/>
                          <a:stretch>
                            <a:fillRect/>
                          </a:stretch>
                        </pic:blipFill>
                        <pic:spPr>
                          <a:xfrm>
                            <a:off x="0" y="0"/>
                            <a:ext cx="2941200" cy="1345405"/>
                          </a:xfrm>
                          <a:prstGeom prst="rect">
                            <a:avLst/>
                          </a:prstGeom>
                        </pic:spPr>
                      </pic:pic>
                    </a:graphicData>
                  </a:graphic>
                </wp:inline>
              </w:drawing>
            </w:r>
          </w:p>
        </w:tc>
      </w:tr>
      <w:tr w:rsidR="0047532B" w:rsidRPr="00020CBE" w:rsidTr="0047532B">
        <w:tc>
          <w:tcPr>
            <w:tcW w:w="3569" w:type="dxa"/>
            <w:vAlign w:val="center"/>
          </w:tcPr>
          <w:p w:rsidR="0047532B" w:rsidRPr="00C96030" w:rsidRDefault="0047532B" w:rsidP="0047532B">
            <w:pPr>
              <w:pStyle w:val="TCTableBody"/>
              <w:jc w:val="center"/>
            </w:pPr>
            <w:r w:rsidRPr="00C96030">
              <w:t>I</w:t>
            </w:r>
          </w:p>
        </w:tc>
        <w:tc>
          <w:tcPr>
            <w:tcW w:w="5776" w:type="dxa"/>
            <w:vAlign w:val="center"/>
          </w:tcPr>
          <w:p w:rsidR="0047532B" w:rsidRPr="00C96030" w:rsidRDefault="0047532B" w:rsidP="0047532B">
            <w:pPr>
              <w:pStyle w:val="TCTableBody"/>
              <w:jc w:val="center"/>
            </w:pPr>
            <w:r w:rsidRPr="00C96030">
              <w:t>J</w:t>
            </w:r>
          </w:p>
        </w:tc>
      </w:tr>
    </w:tbl>
    <w:p w:rsidR="00C96030" w:rsidRDefault="00AE1F4B" w:rsidP="00834B57">
      <w:pPr>
        <w:pStyle w:val="VAFigureCaption"/>
      </w:pPr>
      <w:proofErr w:type="gramStart"/>
      <w:r>
        <w:rPr>
          <w:b/>
        </w:rPr>
        <w:lastRenderedPageBreak/>
        <w:t>Figure 8</w:t>
      </w:r>
      <w:r w:rsidR="00834B57" w:rsidRPr="00834B57">
        <w:rPr>
          <w:b/>
        </w:rPr>
        <w:t>.</w:t>
      </w:r>
      <w:proofErr w:type="gramEnd"/>
      <w:r w:rsidR="00834B57" w:rsidRPr="00834B57">
        <w:t xml:space="preserve"> Simu</w:t>
      </w:r>
      <w:r w:rsidR="00834B57">
        <w:t>lated structure of amino acid-</w:t>
      </w:r>
      <w:r w:rsidR="00834B57" w:rsidRPr="00834B57">
        <w:t>TiO</w:t>
      </w:r>
      <w:r w:rsidR="00834B57" w:rsidRPr="00834B57">
        <w:rPr>
          <w:vertAlign w:val="subscript"/>
        </w:rPr>
        <w:t>2</w:t>
      </w:r>
      <w:r w:rsidR="00834B57" w:rsidRPr="00834B57">
        <w:t xml:space="preserve"> nanoparticle complexes: glycine (A, B), asparagine (C, D), arginine (E, F), alanine (G, H) and aspartic acid (I, J). C – </w:t>
      </w:r>
      <w:proofErr w:type="gramStart"/>
      <w:r w:rsidR="00834B57" w:rsidRPr="00834B57">
        <w:t>cyan</w:t>
      </w:r>
      <w:proofErr w:type="gramEnd"/>
      <w:r w:rsidR="00834B57" w:rsidRPr="00834B57">
        <w:t>, О – red, Н – white, N – dark blue, Ti – grey.</w:t>
      </w:r>
    </w:p>
    <w:p w:rsidR="00C96030" w:rsidRDefault="00C96030" w:rsidP="00C96030">
      <w:pPr>
        <w:pStyle w:val="BBAuthorName"/>
      </w:pPr>
      <w:r>
        <w:br w:type="page"/>
      </w:r>
    </w:p>
    <w:p w:rsidR="00EF627A" w:rsidRDefault="00EF627A" w:rsidP="00EF627A">
      <w:pPr>
        <w:pStyle w:val="TAMainText"/>
      </w:pPr>
      <w:r w:rsidRPr="00EF627A">
        <w:lastRenderedPageBreak/>
        <w:t>CONCLUSIONS</w:t>
      </w:r>
    </w:p>
    <w:p w:rsidR="00EF627A" w:rsidRDefault="00EF627A" w:rsidP="00EF627A">
      <w:pPr>
        <w:pStyle w:val="TAMainText"/>
      </w:pPr>
      <w:r w:rsidRPr="00EF627A">
        <w:t>In this study, we present</w:t>
      </w:r>
      <w:r w:rsidR="00F023EB">
        <w:t xml:space="preserve"> the</w:t>
      </w:r>
      <w:r w:rsidRPr="00EF627A">
        <w:t xml:space="preserve"> investigation of the amino acids adsorption on nanocrystalline TiO</w:t>
      </w:r>
      <w:r w:rsidRPr="00EF627A">
        <w:rPr>
          <w:vertAlign w:val="subscript"/>
        </w:rPr>
        <w:t>2</w:t>
      </w:r>
      <w:r w:rsidRPr="00EF627A">
        <w:t xml:space="preserve"> at pH = 7.4 and temperatures of 0÷40</w:t>
      </w:r>
      <w:r>
        <w:t> </w:t>
      </w:r>
      <w:r w:rsidRPr="00EF627A">
        <w:t>°C (273.15÷313.15 K) corresponding to biocompatible conditions. For the first time, it was shown the adsorption of all native amino acids is adequately described by the BET model on the entire studied range of concentrations. The calculated thermodynamic parameters confirm the adsorption is physical and for most amino acids proceeds endothermically, indicating</w:t>
      </w:r>
      <w:r w:rsidR="00F023EB">
        <w:t xml:space="preserve"> the process is entropy driven.</w:t>
      </w:r>
    </w:p>
    <w:p w:rsidR="00F023EB" w:rsidRPr="00F20185" w:rsidRDefault="00F023EB" w:rsidP="00F023EB">
      <w:pPr>
        <w:pStyle w:val="TAMainText"/>
      </w:pPr>
      <w:r w:rsidRPr="00F20185">
        <w:t xml:space="preserve">Analysis of adsorption among aliphatic amino acids reveals a gradual increase in Gibbs free energy in </w:t>
      </w:r>
      <w:r w:rsidRPr="00400A92">
        <w:rPr>
          <w:noProof/>
        </w:rPr>
        <w:t>homologues</w:t>
      </w:r>
      <w:r w:rsidRPr="00F20185">
        <w:t xml:space="preserve"> series. Branching of the aliphatic chain affects adsorption among isomeric aliphatic amino acids as was shown on examples of </w:t>
      </w:r>
      <w:proofErr w:type="spellStart"/>
      <w:r w:rsidRPr="00F20185">
        <w:t>Leu</w:t>
      </w:r>
      <w:proofErr w:type="spellEnd"/>
      <w:r w:rsidRPr="00F20185">
        <w:t xml:space="preserve"> and Ile. Binding suppression trend is also clear for hydroxyl-bearing amino acids, where additional methyl group significantly increases the adsorption energy of </w:t>
      </w:r>
      <w:proofErr w:type="spellStart"/>
      <w:r w:rsidRPr="00F20185">
        <w:t>Thr</w:t>
      </w:r>
      <w:proofErr w:type="spellEnd"/>
      <w:r w:rsidRPr="00F20185">
        <w:t xml:space="preserve"> compared to Ser.</w:t>
      </w:r>
    </w:p>
    <w:p w:rsidR="00F023EB" w:rsidRPr="00F20185" w:rsidRDefault="00F023EB" w:rsidP="00F023EB">
      <w:pPr>
        <w:pStyle w:val="TAMainText"/>
      </w:pPr>
      <w:r w:rsidRPr="00F20185">
        <w:t>Among polar amino acids, hydroxyl function serves as a better binder to TiO</w:t>
      </w:r>
      <w:r w:rsidRPr="00F20185">
        <w:rPr>
          <w:vertAlign w:val="subscript"/>
        </w:rPr>
        <w:t>2</w:t>
      </w:r>
      <w:r w:rsidRPr="00F20185">
        <w:t xml:space="preserve"> than amide group</w:t>
      </w:r>
      <w:r w:rsidR="006A1817">
        <w:t xml:space="preserve">, due to </w:t>
      </w:r>
      <w:r w:rsidR="006A1817" w:rsidRPr="00F20185">
        <w:t xml:space="preserve">a possible </w:t>
      </w:r>
      <w:r w:rsidRPr="00F20185">
        <w:t xml:space="preserve">strong bonding between the deprotonated hydroxyl </w:t>
      </w:r>
      <w:proofErr w:type="gramStart"/>
      <w:r w:rsidRPr="00F20185">
        <w:t>group</w:t>
      </w:r>
      <w:proofErr w:type="gramEnd"/>
      <w:r w:rsidRPr="00F20185">
        <w:t xml:space="preserve"> with surface </w:t>
      </w:r>
      <w:proofErr w:type="spellStart"/>
      <w:r w:rsidRPr="00F20185">
        <w:t>Ti</w:t>
      </w:r>
      <w:proofErr w:type="spellEnd"/>
      <w:r w:rsidRPr="00F20185">
        <w:t xml:space="preserve"> cations. Aromatic side chain has a lower or similar affinity toward TiO</w:t>
      </w:r>
      <w:r w:rsidRPr="00F20185">
        <w:rPr>
          <w:vertAlign w:val="subscript"/>
        </w:rPr>
        <w:t>2</w:t>
      </w:r>
      <w:r w:rsidRPr="00F20185">
        <w:t xml:space="preserve"> compared to aliphatic </w:t>
      </w:r>
      <w:r w:rsidR="009A32EF" w:rsidRPr="00400A92">
        <w:rPr>
          <w:noProof/>
        </w:rPr>
        <w:t>analogue</w:t>
      </w:r>
      <w:r w:rsidRPr="00400A92">
        <w:rPr>
          <w:noProof/>
        </w:rPr>
        <w:t>s</w:t>
      </w:r>
      <w:r w:rsidRPr="00F20185">
        <w:t>. This is especially surprising as aromatic and heteroaromatic structures should exhibit diverse absorption bands, as was recently demonstrated on the example of His.</w:t>
      </w:r>
      <w:r w:rsidR="00D8484A" w:rsidRPr="00F20185">
        <w:fldChar w:fldCharType="begin" w:fldLock="1"/>
      </w:r>
      <w:r w:rsidR="00773999">
        <w:instrText>ADDIN CSL_CITATION {"citationItems":[{"id":"ITEM-1","itemData":{"DOI":"10.1021/la500722n","ISBN":"0743-7463","ISSN":"15205827","PMID":"24978817","abstract":"Nanoparticles in biological media form dynamic entities as a result of competitive adsorption of proteins on nanoparticle surfaces called protein coronas. The protein affinity toward nanoparticle surfaces potentially depends on the constituent amino acid side chains which are on the protein exterior and thus exposed to the solution and available for interaction. Therefore, studying the adsorption of individual amino acids on nanoparticle surfaces can provide valuable insights into the overall evolution of nanoparticles in solution and the protein corona that forms. In the current study, the surface adsorption of l-histidine on TiO2 nanoparticles with a diameter of 5 nm at pH 7.4 (physiological pH) is studied from both macroscopic and molecular perspectives. Quantitative adsorption measurements of l-histidine on 5 nm TiO2 particles yield maximum adsorption coverage of 6.2 ± 0.3 × 10(13) molecules cm(-2) at 293 K and pH 7.4. These quantitative adsorption measurements also yield values for the equilibrium constant and free energy of adsorption of K = 4.3 ± 0.5 × 10(2) L mol(-1) and ΔG = -14.8 ± 0.3 kJ mol(-1), respectively. Detailed analysis of the adsorption between histidine and 5 nm TiO2 nanoparticle surfaces with attenuated total reflectance Fourier transform infrared (ATR-FTIR) spectroscopy indicates both the imidazole side chain and the amine group interacting with the nanoparticle surface and the adsorption to be reversible. The adsorption results in no change in surface charge and therefore does not change nanoparticle-nanoparticle interactions and thus aggregation behavior of these 5 nm TiO2 nanoparticles in aqueous solution.","author":[{"dropping-particle":"","family":"Mudunkotuwa","given":"Imali A.","non-dropping-particle":"","parse-names":false,"suffix":""},{"dropping-particle":"","family":"Grassian","given":"Vicki H.","non-dropping-particle":"","parse-names":false,"suffix":""}],"container-title":"Langmuir","id":"ITEM-1","issued":{"date-parts":[["2014"]]},"title":"Histidine adsorption on TiO2 nanoparticles: An integrated spectroscopic, thermodynamic, and molecular-based approach toward understanding nano-bio interactions","type":"article-journal"},"uris":["http://www.mendeley.com/documents/?uuid=97c7fb96-3919-4f72-8719-2ef67a6afae4"]}],"mendeley":{"formattedCitation":"&lt;sup&gt;16&lt;/sup&gt;","plainTextFormattedCitation":"16","previouslyFormattedCitation":"&lt;sup&gt;16&lt;/sup&gt;"},"properties":{"noteIndex":0},"schema":"https://github.com/citation-style-language/schema/raw/master/csl-citation.json"}</w:instrText>
      </w:r>
      <w:r w:rsidR="00D8484A" w:rsidRPr="00F20185">
        <w:fldChar w:fldCharType="separate"/>
      </w:r>
      <w:r w:rsidR="009917B5" w:rsidRPr="009917B5">
        <w:rPr>
          <w:noProof/>
          <w:vertAlign w:val="superscript"/>
        </w:rPr>
        <w:t>16</w:t>
      </w:r>
      <w:r w:rsidR="00D8484A" w:rsidRPr="00F20185">
        <w:fldChar w:fldCharType="end"/>
      </w:r>
      <w:r w:rsidRPr="00F20185">
        <w:t xml:space="preserve"> In the series of charged amino acids basic and acidic species lie on the polar sides of the adsorption scale with Lys and </w:t>
      </w:r>
      <w:proofErr w:type="spellStart"/>
      <w:r w:rsidRPr="00F20185">
        <w:t>Arg</w:t>
      </w:r>
      <w:proofErr w:type="spellEnd"/>
      <w:r w:rsidRPr="00F20185">
        <w:t xml:space="preserve"> having the strongest affinity and Asp and </w:t>
      </w:r>
      <w:proofErr w:type="spellStart"/>
      <w:r w:rsidRPr="00F20185">
        <w:t>Glu</w:t>
      </w:r>
      <w:proofErr w:type="spellEnd"/>
      <w:r w:rsidRPr="00F20185">
        <w:t xml:space="preserve"> showing the lowest affinity. This behavior towards negatively charged TiO</w:t>
      </w:r>
      <w:r w:rsidRPr="00F20185">
        <w:rPr>
          <w:vertAlign w:val="subscript"/>
        </w:rPr>
        <w:t>2</w:t>
      </w:r>
      <w:r w:rsidRPr="00F20185">
        <w:t xml:space="preserve"> surface speaks for predominantly electrostatic interactions of the charged amino acids.</w:t>
      </w:r>
    </w:p>
    <w:p w:rsidR="00F023EB" w:rsidRPr="00EF627A" w:rsidRDefault="00F023EB" w:rsidP="00F023EB">
      <w:pPr>
        <w:pStyle w:val="TAMainText"/>
      </w:pPr>
      <w:r w:rsidRPr="00F20185">
        <w:t>Although majority of amino acids have a smooth linear trend of Gibbs free energy decrease upon heating, some exhibit complex behavior including formation of local maxima (</w:t>
      </w:r>
      <w:proofErr w:type="spellStart"/>
      <w:r w:rsidRPr="00F20185">
        <w:t>Gln</w:t>
      </w:r>
      <w:proofErr w:type="spellEnd"/>
      <w:r w:rsidRPr="00F20185">
        <w:t xml:space="preserve">, Val) or </w:t>
      </w:r>
      <w:r w:rsidRPr="00F20185">
        <w:lastRenderedPageBreak/>
        <w:t>minima (</w:t>
      </w:r>
      <w:proofErr w:type="spellStart"/>
      <w:r w:rsidRPr="00F20185">
        <w:t>Trp</w:t>
      </w:r>
      <w:proofErr w:type="spellEnd"/>
      <w:r w:rsidRPr="00F20185">
        <w:t>) (</w:t>
      </w:r>
      <w:r w:rsidRPr="00F20185">
        <w:rPr>
          <w:b/>
        </w:rPr>
        <w:t>Figure 7A</w:t>
      </w:r>
      <w:r w:rsidRPr="00F20185">
        <w:t>) coinciding at 20 °C, or sharp change of the trend (Pro) (</w:t>
      </w:r>
      <w:r w:rsidRPr="00F20185">
        <w:rPr>
          <w:b/>
        </w:rPr>
        <w:t>Figure 7B</w:t>
      </w:r>
      <w:r w:rsidRPr="00F20185">
        <w:t>). Such abnormalities are likely associated with a change in the adsorption mechan</w:t>
      </w:r>
      <w:r w:rsidR="00007EDE">
        <w:t>ism within</w:t>
      </w:r>
      <w:r w:rsidRPr="00F20185">
        <w:t xml:space="preserve"> the studied temperature range, which requires additional investigation.</w:t>
      </w:r>
    </w:p>
    <w:p w:rsidR="00EF627A" w:rsidRPr="00EF627A" w:rsidRDefault="00EF627A" w:rsidP="00EF627A">
      <w:pPr>
        <w:pStyle w:val="TAMainText"/>
      </w:pPr>
      <w:r w:rsidRPr="00EF627A">
        <w:t xml:space="preserve">Dependences of </w:t>
      </w:r>
      <w:r>
        <w:rPr>
          <w:rFonts w:cs="Times"/>
        </w:rPr>
        <w:t>Δ</w:t>
      </w:r>
      <w:r w:rsidRPr="00EF627A">
        <w:t>H, and A</w:t>
      </w:r>
      <w:r w:rsidRPr="00EF627A">
        <w:rPr>
          <w:vertAlign w:val="subscript"/>
        </w:rPr>
        <w:t>m</w:t>
      </w:r>
      <w:r w:rsidRPr="00EF627A">
        <w:t xml:space="preserve"> on HOMO-LUMO band gap </w:t>
      </w:r>
      <w:r>
        <w:rPr>
          <w:rFonts w:cs="Times"/>
        </w:rPr>
        <w:t>Δ</w:t>
      </w:r>
      <w:r w:rsidR="00106768">
        <w:rPr>
          <w:rFonts w:cs="Times"/>
        </w:rPr>
        <w:t>,</w:t>
      </w:r>
      <w:r w:rsidRPr="00EF627A">
        <w:t xml:space="preserve"> carbonyl oxygen atom charge </w:t>
      </w:r>
      <w:r w:rsidRPr="00EF627A">
        <w:rPr>
          <w:i/>
        </w:rPr>
        <w:t>Q</w:t>
      </w:r>
      <w:r w:rsidRPr="00EF627A">
        <w:rPr>
          <w:i/>
          <w:vertAlign w:val="subscript"/>
        </w:rPr>
        <w:t>O</w:t>
      </w:r>
      <w:r w:rsidRPr="00EF627A">
        <w:t xml:space="preserve"> a</w:t>
      </w:r>
      <w:r>
        <w:t xml:space="preserve">nd the </w:t>
      </w:r>
      <w:r w:rsidRPr="00690F25">
        <w:rPr>
          <w:i/>
        </w:rPr>
        <w:t>α</w:t>
      </w:r>
      <w:r>
        <w:t xml:space="preserve">-nitrogen atom charge </w:t>
      </w:r>
      <w:r w:rsidRPr="00EF627A">
        <w:rPr>
          <w:i/>
        </w:rPr>
        <w:t>Q</w:t>
      </w:r>
      <w:r w:rsidRPr="00EF627A">
        <w:rPr>
          <w:i/>
          <w:vertAlign w:val="subscript"/>
        </w:rPr>
        <w:t>N</w:t>
      </w:r>
      <w:r w:rsidRPr="00EF627A">
        <w:t xml:space="preserve"> speak for significant influence of carboxylate-ammonium interactions between amino acids in adsorption process, whether it is an amino acid </w:t>
      </w:r>
      <w:r w:rsidRPr="00400A92">
        <w:rPr>
          <w:noProof/>
        </w:rPr>
        <w:t>associate</w:t>
      </w:r>
      <w:r w:rsidRPr="00EF627A">
        <w:t xml:space="preserve"> disruption or second amino acid layer formation onto TiO</w:t>
      </w:r>
      <w:r w:rsidRPr="00EF627A">
        <w:rPr>
          <w:vertAlign w:val="subscript"/>
        </w:rPr>
        <w:t>2</w:t>
      </w:r>
      <w:r w:rsidRPr="00EF627A">
        <w:t xml:space="preserve">. The amino acid fraction of unbound electrons </w:t>
      </w:r>
      <w:proofErr w:type="spellStart"/>
      <w:r w:rsidRPr="00EF627A">
        <w:rPr>
          <w:i/>
        </w:rPr>
        <w:t>P</w:t>
      </w:r>
      <w:r w:rsidRPr="00EF627A">
        <w:rPr>
          <w:i/>
          <w:vertAlign w:val="subscript"/>
        </w:rPr>
        <w:t>e</w:t>
      </w:r>
      <w:proofErr w:type="spellEnd"/>
      <w:r w:rsidRPr="00EF627A">
        <w:t xml:space="preserve"> correlates with the Gibbs free energy at 273.15÷303.15°K. The </w:t>
      </w:r>
      <w:r w:rsidRPr="00690F25">
        <w:rPr>
          <w:rFonts w:cs="Times"/>
          <w:i/>
        </w:rPr>
        <w:t>α</w:t>
      </w:r>
      <w:r w:rsidRPr="00EF627A">
        <w:t xml:space="preserve">-nitrogen fraction of unbound electrons at 273.15 and 283.15°K significantly affects the saturation, which supports the assumption of </w:t>
      </w:r>
      <w:r w:rsidRPr="00E5579F">
        <w:rPr>
          <w:rFonts w:cs="Times"/>
          <w:i/>
        </w:rPr>
        <w:t>α</w:t>
      </w:r>
      <w:r w:rsidRPr="00EF627A">
        <w:t>-nitrogen as a major adsorption site.</w:t>
      </w:r>
    </w:p>
    <w:p w:rsidR="00EF627A" w:rsidRPr="00EF627A" w:rsidRDefault="00690F25" w:rsidP="00EF627A">
      <w:pPr>
        <w:pStyle w:val="TAMainText"/>
      </w:pPr>
      <w:r>
        <w:t>C</w:t>
      </w:r>
      <w:r w:rsidR="00EF627A" w:rsidRPr="00EF627A">
        <w:t>omputational modeling confirm</w:t>
      </w:r>
      <w:r w:rsidR="00F76584">
        <w:t>s</w:t>
      </w:r>
      <w:r w:rsidR="00EF627A" w:rsidRPr="00EF627A">
        <w:t xml:space="preserve"> the physical nature of amino acids adsorption towards nanocrystalline TiO</w:t>
      </w:r>
      <w:r w:rsidR="00EF627A" w:rsidRPr="00EF627A">
        <w:rPr>
          <w:vertAlign w:val="subscript"/>
        </w:rPr>
        <w:t>2</w:t>
      </w:r>
      <w:r w:rsidR="00EF627A" w:rsidRPr="00EF627A">
        <w:t xml:space="preserve">. Each amino acid forms two or three hydrogen bonds via </w:t>
      </w:r>
      <w:r w:rsidR="00EF627A" w:rsidRPr="00E5579F">
        <w:rPr>
          <w:i/>
        </w:rPr>
        <w:t>α</w:t>
      </w:r>
      <w:r w:rsidR="00EF627A" w:rsidRPr="00EF627A">
        <w:t xml:space="preserve">-ammonium group with oxygens located at the surface defect of titanium dioxide nanocluster, which coincides with </w:t>
      </w:r>
      <w:r w:rsidR="00EF627A">
        <w:t>the assumptions made elsewhere.</w:t>
      </w:r>
      <w:r w:rsidR="00D8484A">
        <w:fldChar w:fldCharType="begin" w:fldLock="1"/>
      </w:r>
      <w:r w:rsidR="00773999">
        <w:instrText>ADDIN CSL_CITATION {"citationItems":[{"id":"ITEM-1","itemData":{"DOI":"10.1246/bcsj.54.1595","author":[{"dropping-particle":"","family":"Okazaki S., Aoki T.","given":"Tani K.","non-dropping-particle":"","parse-names":false,"suffix":""}],"container-title":"Bull. Chem. Soc. Jpn.","id":"ITEM-1","issued":{"date-parts":[["1981"]]},"page":"1595-1599","title":"The Adsorption of Basic α-Amino Acids in an Aqueous Solution by Titanium(IV) Oxide","type":"article-journal","volume":"54"},"uris":["http://www.mendeley.com/documents/?uuid=e7c7e539-ec72-44b3-ba50-89c8e10f4081"]},{"id":"ITEM-2","itemData":{"DOI":"10.1021/la00009a034","ISBN":"0743-7463","ISSN":"07437463","abstract":"The adsorption of L-aspartic acid (AA) at the TiO2-KNO3 aqueous solution interface was studied as a function of pH and electrolyte concentration using direct adsorption, OH- desorption, electrophoresis, and XPS measurements. A multisites surface complexation model was used to describe the charging and adsorptive behavior of the particles. Adsorption and electrophoretic data show that the amino acid uptake is characteristic of adsorbing anions and almost ionic strength independent. Although XPS data indicates that AA interacts with TiO2 surface sites through the amino groups, neither XPS nor kinetic results give conclusive evidence for the adsorption mechanism (ligand exchange or hydrogen bonding). Model calculations together with OH- desorption data, however, allow us to conclude that ligand exchange reactions, by which AA forms inner sphere surface complexes, take place. The model also predicts that only terminal (TiOH) groups react with AA. The results exemplify the usefulness of modeling when a quite complete set of experimental data cannot elucidate the type of reaction taking place between the solute and the surface. ? 1995 American Chemical Society.","author":[{"dropping-particle":"","family":"Giacomelli","given":"Ce","non-dropping-particle":"","parse-names":false,"suffix":""},{"dropping-particle":"","family":"Avena","given":"Mj","non-dropping-particle":"","parse-names":false,"suffix":""},{"dropping-particle":"De","family":"Pauli","given":"Cp","non-dropping-particle":"","parse-names":false,"suffix":""}],"container-title":"Langmuir","id":"ITEM-2","issue":"16","issued":{"date-parts":[["1995"]]},"page":"3483-3490","title":"Aspartic acid adsorption onto TiO2 particles surface. Experimental data and model calculations","type":"article-journal"},"uris":["http://www.mendeley.com/documents/?uuid=41443f5f-0de6-4fc5-ae1b-5c6a20a9606c"]},{"id":"ITEM-3","itemData":{"DOI":"10.1039/c4cp03056g","abstract":"Arg, Lys and Asp amino acids are known to play a critical role in the adhesion of the RKLPDA engineered peptide on the (101) surface of the titania anatase phase. To understand their contribution to peptide adhesion, we have considered the relevant charge states due to protonation (Arg and Lys) or deprotonation (Asp) occurring in neutral water solution, and studied their adsorption on the (101) anatase TiO 2 surface by ab initio total energy calculations based on density functional theory. The adsorption configurations on the hydrated surface are compared to those on the dry surface considering also the presence of the hydration shell around amino acid side-chains. This study explains how water molecules mediate the adsorption of charged amino acids showing that protonated amino acids are chemically adsorbed much more strongly than de-protonated Asp. Moreover it is shown that the polar screening of the hydration shell reduces the adsorption energy of the protonated amino acids to a small extent, thus evidencing that both Arg and Lys strongly adhere on the (101) anatase TiO 2 surface in neutral water solution and that they play a major role in the adhesion of the RKLPDA peptide. Interfaces between biomolecules and inorganic materials are now receiving increasing attention in various fields of application ranging from nanotechnology to medicine and pharmacology. 1,2 The recent progress in combinatorial biological techniques has permitted researchers to select sequences of amino acids possessing specific affinities to inorganic targets. 1 A full under-standing of the specific affinities observed requires the atomic scale study of the processes involved such as the charge and hydrogen bond type interactions found in some studies. 3–6 We focused our attention on the titania surface as it is of funda-mental importance to develop biocompatible and bioinspired nanostructured materials. The RKLPDA peptide (Arg–Lys–Leu– Pro–Asp–Ala, minTBP-1) has been demonstrated to display a high and selective affinity to TiO 2 . 3 Experimental mutational analyses have indicated that the charged residues of Arg and Asp play a role in specific binding indicating that the recogni-tion of the substrate is dominated by electrostatic interactions. 3 The mutation of the neutral Pro reduces the peptide–surface binding affinity, 3 likely because it is known that it acts as an alpha-helix breaker and generates kinks in the peptide chains 7 conferring structural rigidity and bended confo…","author":[{"dropping-particle":"","family":"Agosta","given":"Lorenzo","non-dropping-particle":"","parse-names":false,"suffix":""},{"dropping-particle":"","family":"Zollo","given":"Giuseppe","non-dropping-particle":"","parse-names":false,"suffix":""},{"dropping-particle":"","family":"Arcangeli","given":"Caterina","non-dropping-particle":"","parse-names":false,"suffix":""},{"dropping-particle":"","family":"Buonocore","given":"Francesco","non-dropping-particle":"","parse-names":false,"suffix":""},{"dropping-particle":"","family":"Gala","given":"Fabrizio","non-dropping-particle":"","parse-names":false,"suffix":""},{"dropping-particle":"","family":"Celino","given":"Massimo","non-dropping-particle":"","parse-names":false,"suffix":""}],"container-title":"Phys. Chem. Chem. Phys.","id":"ITEM-3","issue":"17","issued":{"date-parts":[["2015"]]},"page":"1556-1561","title":"Water driven adsorption of amino acids on the (101) anatase TiO 2 surface: an ab initio study","type":"article-journal","volume":"17"},"uris":["http://www.mendeley.com/documents/?uuid=a7c5e299-d6c1-482d-b83a-b511b4fc0c62"]}],"mendeley":{"formattedCitation":"&lt;sup&gt;15,21,23&lt;/sup&gt;","plainTextFormattedCitation":"15,21,23","previouslyFormattedCitation":"&lt;sup&gt;15,21,23&lt;/sup&gt;"},"properties":{"noteIndex":0},"schema":"https://github.com/citation-style-language/schema/raw/master/csl-citation.json"}</w:instrText>
      </w:r>
      <w:r w:rsidR="00D8484A">
        <w:fldChar w:fldCharType="separate"/>
      </w:r>
      <w:r w:rsidR="009917B5" w:rsidRPr="009917B5">
        <w:rPr>
          <w:noProof/>
          <w:vertAlign w:val="superscript"/>
        </w:rPr>
        <w:t>15,21,23</w:t>
      </w:r>
      <w:r w:rsidR="00D8484A">
        <w:fldChar w:fldCharType="end"/>
      </w:r>
      <w:r w:rsidR="00EF627A" w:rsidRPr="00EF627A">
        <w:t xml:space="preserve"> </w:t>
      </w:r>
      <w:proofErr w:type="gramStart"/>
      <w:r w:rsidR="00EF627A" w:rsidRPr="00EF627A">
        <w:t>For</w:t>
      </w:r>
      <w:proofErr w:type="gramEnd"/>
      <w:r w:rsidR="00EF627A" w:rsidRPr="00EF627A">
        <w:t xml:space="preserve"> acidic and basic amino acids, a formation of additional hydrogen bonds is possible via side functional groups.</w:t>
      </w:r>
    </w:p>
    <w:p w:rsidR="00C96030" w:rsidRDefault="00EF627A" w:rsidP="00EF627A">
      <w:pPr>
        <w:pStyle w:val="TAMainText"/>
      </w:pPr>
      <w:r w:rsidRPr="00EF627A">
        <w:t xml:space="preserve">The available literature data about the interaction of amino acids with titanium dioxide largely describe the process qualitatively and are difficult to compare because of the variety of descriptive approaches: from the canonical construction of adsorption isotherms to computer modeling. It is also necessary to note the fragmented nature of the data, the narrowness of the research problems without a comprehensive survey of the adsorption properties of a whole range of native amino acids. In our next paper, we plan to disclose a complete theoretical study of the </w:t>
      </w:r>
      <w:r w:rsidRPr="00EF627A">
        <w:rPr>
          <w:i/>
        </w:rPr>
        <w:t>L</w:t>
      </w:r>
      <w:r w:rsidRPr="00EF627A">
        <w:t xml:space="preserve">-amino acid-titanium dioxide complexes: structure modeling and establishing relationship </w:t>
      </w:r>
      <w:r w:rsidRPr="00EF627A">
        <w:lastRenderedPageBreak/>
        <w:t>between energy characteristics and the experimentally determined values of the enthalpy and entropy of the amino acids adsorption.</w:t>
      </w:r>
    </w:p>
    <w:p w:rsidR="00C96030" w:rsidRPr="005F413D" w:rsidRDefault="00C96030" w:rsidP="00C96030">
      <w:pPr>
        <w:pStyle w:val="BBAuthorName"/>
      </w:pPr>
      <w:r>
        <w:br w:type="page"/>
      </w:r>
    </w:p>
    <w:p w:rsidR="00DD6DBB" w:rsidRDefault="00C10EE0" w:rsidP="000B5610">
      <w:pPr>
        <w:pStyle w:val="TESupportingInformation"/>
        <w:spacing w:after="240"/>
        <w:ind w:firstLine="0"/>
        <w:jc w:val="left"/>
      </w:pPr>
      <w:r>
        <w:lastRenderedPageBreak/>
        <w:t>ASSOCIATED CONTENT</w:t>
      </w:r>
    </w:p>
    <w:p w:rsidR="00DC5600" w:rsidRDefault="00C10EE0" w:rsidP="00DC5600">
      <w:pPr>
        <w:pStyle w:val="TESupportingInformation"/>
        <w:spacing w:after="240"/>
        <w:jc w:val="left"/>
      </w:pPr>
      <w:r w:rsidRPr="00157E12">
        <w:rPr>
          <w:b/>
        </w:rPr>
        <w:t>Supporting Information</w:t>
      </w:r>
    </w:p>
    <w:p w:rsidR="00C10EE0" w:rsidRPr="00C10EE0" w:rsidRDefault="00DC5600" w:rsidP="00DC5600">
      <w:pPr>
        <w:pStyle w:val="TESupportingInformation"/>
        <w:spacing w:after="240"/>
      </w:pPr>
      <w:proofErr w:type="gramStart"/>
      <w:r>
        <w:t>Chromatograms and the detection limits of analytical techniques.</w:t>
      </w:r>
      <w:proofErr w:type="gramEnd"/>
      <w:r w:rsidR="00F37AF3">
        <w:t xml:space="preserve"> </w:t>
      </w:r>
      <w:proofErr w:type="gramStart"/>
      <w:r w:rsidR="00F37AF3">
        <w:t>Particle size distribution according to TEM observation of 150 TiO</w:t>
      </w:r>
      <w:r w:rsidR="00F37AF3">
        <w:rPr>
          <w:vertAlign w:val="subscript"/>
        </w:rPr>
        <w:t>2</w:t>
      </w:r>
      <w:r w:rsidR="00F37AF3">
        <w:t xml:space="preserve"> nanoparticles.</w:t>
      </w:r>
      <w:proofErr w:type="gramEnd"/>
      <w:r>
        <w:t xml:space="preserve"> </w:t>
      </w:r>
      <w:proofErr w:type="gramStart"/>
      <w:r w:rsidRPr="00400A92">
        <w:rPr>
          <w:noProof/>
        </w:rPr>
        <w:t>PXRD</w:t>
      </w:r>
      <w:r>
        <w:t xml:space="preserve"> pattern of the TiO</w:t>
      </w:r>
      <w:r w:rsidRPr="00DC5600">
        <w:rPr>
          <w:vertAlign w:val="subscript"/>
        </w:rPr>
        <w:t>2</w:t>
      </w:r>
      <w:r>
        <w:t xml:space="preserve"> sample.</w:t>
      </w:r>
      <w:proofErr w:type="gramEnd"/>
      <w:r>
        <w:t xml:space="preserve"> The TiO</w:t>
      </w:r>
      <w:r w:rsidRPr="00DC5600">
        <w:rPr>
          <w:vertAlign w:val="subscript"/>
        </w:rPr>
        <w:t>2</w:t>
      </w:r>
      <w:r>
        <w:t xml:space="preserve"> sample N</w:t>
      </w:r>
      <w:r w:rsidRPr="00DC5600">
        <w:rPr>
          <w:vertAlign w:val="subscript"/>
        </w:rPr>
        <w:t>2</w:t>
      </w:r>
      <w:r>
        <w:t xml:space="preserve"> adsorption-desorption isotherm at 77 K. The Gibbs free energies (ΔG) and equilibrium constants (K) of the amino acids adsorption on nanocrystalline TiO</w:t>
      </w:r>
      <w:r w:rsidRPr="00DC5600">
        <w:rPr>
          <w:vertAlign w:val="subscript"/>
        </w:rPr>
        <w:t>2</w:t>
      </w:r>
      <w:r>
        <w:t xml:space="preserve"> at different temperatures, calculated from the Langmuir model. The amino acids adsorption isotherms calculated by the BET equation for each temperature. The Gibbs free energies (ΔG) and equilibrium constants (K) of the amino acids adsorption on nanocrystalline TiO</w:t>
      </w:r>
      <w:r w:rsidRPr="00DC5600">
        <w:rPr>
          <w:vertAlign w:val="subscript"/>
        </w:rPr>
        <w:t>2</w:t>
      </w:r>
      <w:r>
        <w:t xml:space="preserve"> at different temperatures, calculated from the BET model.</w:t>
      </w:r>
    </w:p>
    <w:p w:rsidR="00DD6DBB" w:rsidRDefault="00DD6DBB" w:rsidP="00DD6DBB">
      <w:pPr>
        <w:pStyle w:val="FACorrespondingAuthorFootnote"/>
        <w:spacing w:after="0"/>
        <w:jc w:val="left"/>
      </w:pPr>
      <w:r>
        <w:t>AUTHOR INFORMATION</w:t>
      </w:r>
    </w:p>
    <w:p w:rsidR="00DD6DBB" w:rsidRPr="000134EC" w:rsidRDefault="00DD6DBB" w:rsidP="000134EC">
      <w:pPr>
        <w:pStyle w:val="FACorrespondingAuthorFootnote"/>
        <w:rPr>
          <w:b/>
        </w:rPr>
      </w:pPr>
      <w:r w:rsidRPr="000134EC">
        <w:rPr>
          <w:b/>
        </w:rPr>
        <w:t>Corresponding Author</w:t>
      </w:r>
      <w:r w:rsidR="00194450" w:rsidRPr="000134EC">
        <w:rPr>
          <w:b/>
        </w:rPr>
        <w:t>s</w:t>
      </w:r>
    </w:p>
    <w:p w:rsidR="00BD6DC1" w:rsidRPr="00BD6DC1" w:rsidRDefault="005B3F08" w:rsidP="000134EC">
      <w:pPr>
        <w:pStyle w:val="FACorrespondingAuthorFootnote"/>
      </w:pPr>
      <w:r>
        <w:t>Oleg</w:t>
      </w:r>
      <w:r w:rsidR="00BD6DC1">
        <w:t xml:space="preserve"> </w:t>
      </w:r>
      <w:proofErr w:type="spellStart"/>
      <w:r w:rsidR="00BD6DC1">
        <w:t>Bol’shakov</w:t>
      </w:r>
      <w:proofErr w:type="spellEnd"/>
      <w:r w:rsidR="00194450">
        <w:t>:</w:t>
      </w:r>
      <w:r w:rsidR="00BD6DC1">
        <w:t xml:space="preserve"> </w:t>
      </w:r>
      <w:hyperlink r:id="rId70" w:history="1">
        <w:r w:rsidR="00BD6DC1" w:rsidRPr="003922A4">
          <w:rPr>
            <w:rStyle w:val="a6"/>
          </w:rPr>
          <w:t>bolshakovoi@susu.ru</w:t>
        </w:r>
      </w:hyperlink>
    </w:p>
    <w:p w:rsidR="005B3F08" w:rsidRPr="005B3F08" w:rsidRDefault="005B3F08" w:rsidP="000134EC">
      <w:pPr>
        <w:pStyle w:val="FACorrespondingAuthorFootnote"/>
      </w:pPr>
      <w:r>
        <w:t>Vladimir</w:t>
      </w:r>
      <w:r w:rsidR="00BD6DC1">
        <w:t xml:space="preserve"> Potemkin</w:t>
      </w:r>
      <w:r w:rsidR="00194450">
        <w:t>:</w:t>
      </w:r>
      <w:r w:rsidR="00BD6DC1">
        <w:t xml:space="preserve"> </w:t>
      </w:r>
      <w:hyperlink r:id="rId71" w:history="1">
        <w:r w:rsidRPr="003922A4">
          <w:rPr>
            <w:rStyle w:val="a6"/>
          </w:rPr>
          <w:t>potemkinva@susu.ru</w:t>
        </w:r>
      </w:hyperlink>
    </w:p>
    <w:p w:rsidR="00C10EE0" w:rsidRPr="00DD6DBB" w:rsidRDefault="00C10EE0" w:rsidP="00DD6DBB">
      <w:pPr>
        <w:pStyle w:val="FAAuthorInfoSubtitle"/>
      </w:pPr>
      <w:r w:rsidRPr="00DD6DBB">
        <w:t>Author Contributions</w:t>
      </w:r>
    </w:p>
    <w:p w:rsidR="00C10EE0" w:rsidRPr="00DD6DBB" w:rsidRDefault="005B3F08" w:rsidP="00DD6DBB">
      <w:pPr>
        <w:pStyle w:val="StyleFACorrespondingAuthorFootnote7pt"/>
        <w:spacing w:after="240" w:line="480" w:lineRule="auto"/>
        <w:rPr>
          <w:rFonts w:ascii="Times" w:hAnsi="Times"/>
          <w:kern w:val="0"/>
          <w:sz w:val="24"/>
        </w:rPr>
      </w:pPr>
      <w:r w:rsidRPr="005B3F08">
        <w:rPr>
          <w:rFonts w:ascii="Times" w:hAnsi="Times"/>
          <w:kern w:val="0"/>
          <w:sz w:val="24"/>
        </w:rPr>
        <w:t xml:space="preserve">The manuscript was written through </w:t>
      </w:r>
      <w:r w:rsidRPr="00400A92">
        <w:rPr>
          <w:rFonts w:ascii="Times" w:hAnsi="Times"/>
          <w:noProof/>
          <w:kern w:val="0"/>
          <w:sz w:val="24"/>
        </w:rPr>
        <w:t>contributions</w:t>
      </w:r>
      <w:r w:rsidRPr="005B3F08">
        <w:rPr>
          <w:rFonts w:ascii="Times" w:hAnsi="Times"/>
          <w:kern w:val="0"/>
          <w:sz w:val="24"/>
        </w:rPr>
        <w:t xml:space="preserve"> of all authors.</w:t>
      </w:r>
    </w:p>
    <w:p w:rsidR="00DD6DBB" w:rsidRPr="00DD6DBB" w:rsidRDefault="00C10EE0" w:rsidP="00DD6DBB">
      <w:pPr>
        <w:pStyle w:val="FAAuthorInfoSubtitle"/>
      </w:pPr>
      <w:r w:rsidRPr="00DD6DBB">
        <w:t>Notes</w:t>
      </w:r>
    </w:p>
    <w:p w:rsidR="00C10EE0" w:rsidRPr="00DD6DBB" w:rsidRDefault="005B3F08" w:rsidP="00DD6DBB">
      <w:pPr>
        <w:pStyle w:val="StyleFACorrespondingAuthorFootnote7pt"/>
        <w:spacing w:after="240" w:line="480" w:lineRule="auto"/>
        <w:rPr>
          <w:rFonts w:ascii="Times" w:hAnsi="Times"/>
          <w:kern w:val="0"/>
          <w:sz w:val="24"/>
        </w:rPr>
      </w:pPr>
      <w:r w:rsidRPr="005B3F08">
        <w:rPr>
          <w:rFonts w:ascii="Times" w:hAnsi="Times"/>
          <w:kern w:val="0"/>
          <w:sz w:val="24"/>
        </w:rPr>
        <w:t>The authors declare no competing financial interest.</w:t>
      </w:r>
    </w:p>
    <w:p w:rsidR="00DD6DBB" w:rsidRDefault="00DD6DBB" w:rsidP="000B5610">
      <w:pPr>
        <w:pStyle w:val="TDAcknowledgments"/>
        <w:spacing w:before="0" w:after="0"/>
        <w:ind w:firstLine="0"/>
        <w:jc w:val="left"/>
      </w:pPr>
      <w:r>
        <w:t>ACKNOWLEDGMENT</w:t>
      </w:r>
    </w:p>
    <w:p w:rsidR="009246AD" w:rsidRPr="000D5A9C" w:rsidRDefault="005B3F08" w:rsidP="000D5A9C">
      <w:pPr>
        <w:pStyle w:val="TDAcknowledgments"/>
      </w:pPr>
      <w:r w:rsidRPr="000D5A9C">
        <w:lastRenderedPageBreak/>
        <w:t xml:space="preserve">This work was ﬁnancially supported by the Russian Foundation for Basic Research (Grant </w:t>
      </w:r>
      <w:r w:rsidR="001A4BB1" w:rsidRPr="000D5A9C">
        <w:t>№ </w:t>
      </w:r>
      <w:r w:rsidRPr="000D5A9C">
        <w:t>15-03-07834-a).</w:t>
      </w:r>
      <w:r w:rsidR="00AB0CC8">
        <w:t xml:space="preserve"> </w:t>
      </w:r>
      <w:r w:rsidR="00AB0CC8" w:rsidRPr="00AB0CC8">
        <w:t xml:space="preserve">Igor </w:t>
      </w:r>
      <w:proofErr w:type="spellStart"/>
      <w:r w:rsidR="00AB0CC8" w:rsidRPr="00AB0CC8">
        <w:t>Krivtsov</w:t>
      </w:r>
      <w:proofErr w:type="spellEnd"/>
      <w:r w:rsidR="00AB0CC8" w:rsidRPr="00AB0CC8">
        <w:t xml:space="preserve"> acknowledge the financial support from Spanish MINECO (CTQ2014-52956-C3-1-R and MAT2016-78155-C2-1-R)</w:t>
      </w:r>
    </w:p>
    <w:p w:rsidR="00DD6DBB" w:rsidRDefault="00DD6DBB" w:rsidP="00676AD0">
      <w:pPr>
        <w:pStyle w:val="TFReferencesSection"/>
      </w:pPr>
      <w:r>
        <w:t>REFERENCES</w:t>
      </w:r>
    </w:p>
    <w:p w:rsidR="008A2060" w:rsidRPr="008A2060" w:rsidRDefault="00D1291F" w:rsidP="008A2060">
      <w:pPr>
        <w:widowControl w:val="0"/>
        <w:autoSpaceDE w:val="0"/>
        <w:autoSpaceDN w:val="0"/>
        <w:adjustRightInd w:val="0"/>
        <w:spacing w:line="480" w:lineRule="auto"/>
        <w:ind w:left="640" w:hanging="640"/>
        <w:rPr>
          <w:rFonts w:cs="Times"/>
          <w:noProof/>
          <w:szCs w:val="24"/>
        </w:rPr>
      </w:pPr>
      <w:r>
        <w:fldChar w:fldCharType="begin" w:fldLock="1"/>
      </w:r>
      <w:r>
        <w:instrText xml:space="preserve">ADDIN Mendeley Bibliography CSL_BIBLIOGRAPHY </w:instrText>
      </w:r>
      <w:r>
        <w:fldChar w:fldCharType="separate"/>
      </w:r>
      <w:r w:rsidR="008A2060" w:rsidRPr="008A2060">
        <w:rPr>
          <w:rFonts w:cs="Times"/>
          <w:noProof/>
          <w:szCs w:val="24"/>
        </w:rPr>
        <w:t xml:space="preserve">(1) </w:t>
      </w:r>
      <w:r w:rsidR="008A2060" w:rsidRPr="008A2060">
        <w:rPr>
          <w:rFonts w:cs="Times"/>
          <w:noProof/>
          <w:szCs w:val="24"/>
        </w:rPr>
        <w:tab/>
        <w:t xml:space="preserve">Grätzel M. Photoelectrochemical Cells. </w:t>
      </w:r>
      <w:r w:rsidR="008A2060" w:rsidRPr="008A2060">
        <w:rPr>
          <w:rFonts w:cs="Times"/>
          <w:i/>
          <w:iCs/>
          <w:noProof/>
          <w:szCs w:val="24"/>
        </w:rPr>
        <w:t>Nature</w:t>
      </w:r>
      <w:r w:rsidR="008A2060" w:rsidRPr="008A2060">
        <w:rPr>
          <w:rFonts w:cs="Times"/>
          <w:noProof/>
          <w:szCs w:val="24"/>
        </w:rPr>
        <w:t xml:space="preserve"> </w:t>
      </w:r>
      <w:r w:rsidR="008A2060" w:rsidRPr="008A2060">
        <w:rPr>
          <w:rFonts w:cs="Times"/>
          <w:b/>
          <w:bCs/>
          <w:noProof/>
          <w:szCs w:val="24"/>
        </w:rPr>
        <w:t>2001</w:t>
      </w:r>
      <w:r w:rsidR="008A2060" w:rsidRPr="008A2060">
        <w:rPr>
          <w:rFonts w:cs="Times"/>
          <w:noProof/>
          <w:szCs w:val="24"/>
        </w:rPr>
        <w:t xml:space="preserve">, </w:t>
      </w:r>
      <w:r w:rsidR="008A2060" w:rsidRPr="008A2060">
        <w:rPr>
          <w:rFonts w:cs="Times"/>
          <w:i/>
          <w:iCs/>
          <w:noProof/>
          <w:szCs w:val="24"/>
        </w:rPr>
        <w:t>414</w:t>
      </w:r>
      <w:r w:rsidR="008A2060" w:rsidRPr="008A2060">
        <w:rPr>
          <w:rFonts w:cs="Times"/>
          <w:noProof/>
          <w:szCs w:val="24"/>
        </w:rPr>
        <w:t>, 338–344.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 </w:t>
      </w:r>
      <w:r w:rsidRPr="008A2060">
        <w:rPr>
          <w:rFonts w:cs="Times"/>
          <w:noProof/>
          <w:szCs w:val="24"/>
        </w:rPr>
        <w:tab/>
        <w:t xml:space="preserve">Kubota, Y.; Shuin, T.; Kawasaki, C.; Hosaka, M.; Kitamura, H.; Cai, R.; Sakai, H.; Hashimoto, K.; Fujishima, A. Photokilling of T-24 Human Bladder Cancer Cells with Titanium Dioxide. </w:t>
      </w:r>
      <w:r w:rsidRPr="008A2060">
        <w:rPr>
          <w:rFonts w:cs="Times"/>
          <w:i/>
          <w:iCs/>
          <w:noProof/>
          <w:szCs w:val="24"/>
        </w:rPr>
        <w:t>Br. J. Cancer</w:t>
      </w:r>
      <w:r w:rsidRPr="008A2060">
        <w:rPr>
          <w:rFonts w:cs="Times"/>
          <w:noProof/>
          <w:szCs w:val="24"/>
        </w:rPr>
        <w:t xml:space="preserve"> </w:t>
      </w:r>
      <w:r w:rsidRPr="008A2060">
        <w:rPr>
          <w:rFonts w:cs="Times"/>
          <w:b/>
          <w:bCs/>
          <w:noProof/>
          <w:szCs w:val="24"/>
        </w:rPr>
        <w:t>1994</w:t>
      </w:r>
      <w:r w:rsidRPr="008A2060">
        <w:rPr>
          <w:rFonts w:cs="Times"/>
          <w:noProof/>
          <w:szCs w:val="24"/>
        </w:rPr>
        <w:t xml:space="preserve">, </w:t>
      </w:r>
      <w:r w:rsidRPr="008A2060">
        <w:rPr>
          <w:rFonts w:cs="Times"/>
          <w:i/>
          <w:iCs/>
          <w:noProof/>
          <w:szCs w:val="24"/>
        </w:rPr>
        <w:t>70</w:t>
      </w:r>
      <w:r w:rsidRPr="008A2060">
        <w:rPr>
          <w:rFonts w:cs="Times"/>
          <w:noProof/>
          <w:szCs w:val="24"/>
        </w:rPr>
        <w:t xml:space="preserve"> (6), 1107–1111.</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 </w:t>
      </w:r>
      <w:r w:rsidRPr="008A2060">
        <w:rPr>
          <w:rFonts w:cs="Times"/>
          <w:noProof/>
          <w:szCs w:val="24"/>
        </w:rPr>
        <w:tab/>
        <w:t>Sun, R.-D.; Nakajima, A.; Fujishima, A.; Watanabe, T.; Hashimoto, K. Photoinduced Surface Wettab</w:t>
      </w:r>
      <w:r w:rsidR="00DE1069">
        <w:rPr>
          <w:rFonts w:cs="Times"/>
          <w:noProof/>
          <w:szCs w:val="24"/>
        </w:rPr>
        <w:t>ility Conversion of ZnO and TiO</w:t>
      </w:r>
      <w:r w:rsidRPr="008A2060">
        <w:rPr>
          <w:rFonts w:cs="Times"/>
          <w:noProof/>
          <w:szCs w:val="24"/>
          <w:vertAlign w:val="subscript"/>
        </w:rPr>
        <w:t>2</w:t>
      </w:r>
      <w:r w:rsidRPr="008A2060">
        <w:rPr>
          <w:rFonts w:cs="Times"/>
          <w:noProof/>
          <w:szCs w:val="24"/>
        </w:rPr>
        <w:t xml:space="preserve"> Thin Films. </w:t>
      </w:r>
      <w:r w:rsidRPr="008A2060">
        <w:rPr>
          <w:rFonts w:cs="Times"/>
          <w:i/>
          <w:iCs/>
          <w:noProof/>
          <w:szCs w:val="24"/>
        </w:rPr>
        <w:t>J. Phys. Chem. B</w:t>
      </w:r>
      <w:r w:rsidRPr="008A2060">
        <w:rPr>
          <w:rFonts w:cs="Times"/>
          <w:noProof/>
          <w:szCs w:val="24"/>
        </w:rPr>
        <w:t xml:space="preserve"> </w:t>
      </w:r>
      <w:r w:rsidRPr="008A2060">
        <w:rPr>
          <w:rFonts w:cs="Times"/>
          <w:b/>
          <w:bCs/>
          <w:noProof/>
          <w:szCs w:val="24"/>
        </w:rPr>
        <w:t>2001</w:t>
      </w:r>
      <w:r w:rsidRPr="008A2060">
        <w:rPr>
          <w:rFonts w:cs="Times"/>
          <w:noProof/>
          <w:szCs w:val="24"/>
        </w:rPr>
        <w:t xml:space="preserve">, </w:t>
      </w:r>
      <w:r w:rsidRPr="008A2060">
        <w:rPr>
          <w:rFonts w:cs="Times"/>
          <w:i/>
          <w:iCs/>
          <w:noProof/>
          <w:szCs w:val="24"/>
        </w:rPr>
        <w:t>105</w:t>
      </w:r>
      <w:r w:rsidRPr="008A2060">
        <w:rPr>
          <w:rFonts w:cs="Times"/>
          <w:noProof/>
          <w:szCs w:val="24"/>
        </w:rPr>
        <w:t xml:space="preserve"> (10), 1984–1990.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(4) </w:t>
      </w:r>
      <w:r w:rsidRPr="008A2060">
        <w:rPr>
          <w:rFonts w:cs="Times"/>
          <w:noProof/>
          <w:szCs w:val="24"/>
        </w:rPr>
        <w:tab/>
        <w:t xml:space="preserve">Diebold, U. The Surface Science of Titanium Dioxide. </w:t>
      </w:r>
      <w:r w:rsidRPr="008A2060">
        <w:rPr>
          <w:rFonts w:cs="Times"/>
          <w:i/>
          <w:iCs/>
          <w:noProof/>
          <w:szCs w:val="24"/>
        </w:rPr>
        <w:t>Surf. Sci. Rep.</w:t>
      </w:r>
      <w:r w:rsidRPr="008A2060">
        <w:rPr>
          <w:rFonts w:cs="Times"/>
          <w:noProof/>
          <w:szCs w:val="24"/>
        </w:rPr>
        <w:t xml:space="preserve"> </w:t>
      </w:r>
      <w:r w:rsidRPr="008A2060">
        <w:rPr>
          <w:rFonts w:cs="Times"/>
          <w:b/>
          <w:bCs/>
          <w:noProof/>
          <w:szCs w:val="24"/>
        </w:rPr>
        <w:t>2003</w:t>
      </w:r>
      <w:r w:rsidRPr="008A2060">
        <w:rPr>
          <w:rFonts w:cs="Times"/>
          <w:noProof/>
          <w:szCs w:val="24"/>
        </w:rPr>
        <w:t xml:space="preserve">, </w:t>
      </w:r>
      <w:r w:rsidRPr="008A2060">
        <w:rPr>
          <w:rFonts w:cs="Times"/>
          <w:i/>
          <w:iCs/>
          <w:noProof/>
          <w:szCs w:val="24"/>
        </w:rPr>
        <w:t>48</w:t>
      </w:r>
      <w:r w:rsidRPr="008A2060">
        <w:rPr>
          <w:rFonts w:cs="Times"/>
          <w:noProof/>
          <w:szCs w:val="24"/>
        </w:rPr>
        <w:t xml:space="preserve"> (5–8), 53–229.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 </w:t>
      </w:r>
      <w:r w:rsidRPr="008A2060">
        <w:rPr>
          <w:rFonts w:cs="Times"/>
          <w:noProof/>
          <w:szCs w:val="24"/>
        </w:rPr>
        <w:tab/>
        <w:t>Topoglidis, E.; Lutz, T.; Willi</w:t>
      </w:r>
      <w:r w:rsidR="00EB1D92">
        <w:rPr>
          <w:rFonts w:cs="Times"/>
          <w:noProof/>
          <w:szCs w:val="24"/>
        </w:rPr>
        <w:t>s, R. L.; Barnett, C. J.; Cass,</w:t>
      </w:r>
      <w:r w:rsidRPr="008A2060">
        <w:rPr>
          <w:rFonts w:cs="Times"/>
          <w:noProof/>
          <w:szCs w:val="24"/>
        </w:rPr>
        <w:t xml:space="preserve"> a</w:t>
      </w:r>
      <w:r w:rsidR="00EB1D92">
        <w:rPr>
          <w:rFonts w:cs="Times"/>
          <w:noProof/>
          <w:szCs w:val="24"/>
        </w:rPr>
        <w:t>nd</w:t>
      </w:r>
      <w:r w:rsidRPr="008A2060">
        <w:rPr>
          <w:rFonts w:cs="Times"/>
          <w:noProof/>
          <w:szCs w:val="24"/>
        </w:rPr>
        <w:t xml:space="preserve"> E.; Durrant, J. R. Protein Adsorption on Nanoporous TiO</w:t>
      </w:r>
      <w:r w:rsidRPr="00DE1069">
        <w:rPr>
          <w:rFonts w:cs="Times"/>
          <w:noProof/>
          <w:szCs w:val="24"/>
          <w:vertAlign w:val="subscript"/>
        </w:rPr>
        <w:t>2</w:t>
      </w:r>
      <w:r w:rsidRPr="008A2060">
        <w:rPr>
          <w:rFonts w:cs="Times"/>
          <w:noProof/>
          <w:szCs w:val="24"/>
        </w:rPr>
        <w:t xml:space="preserve"> Films: A Novel Approach to Studying Photoinduced Protein/Electrode Transfer Reactions. </w:t>
      </w:r>
      <w:r w:rsidRPr="008A2060">
        <w:rPr>
          <w:rFonts w:cs="Times"/>
          <w:i/>
          <w:iCs/>
          <w:noProof/>
          <w:szCs w:val="24"/>
        </w:rPr>
        <w:t>Faraday Discuss.</w:t>
      </w:r>
      <w:r w:rsidRPr="008A2060">
        <w:rPr>
          <w:rFonts w:cs="Times"/>
          <w:noProof/>
          <w:szCs w:val="24"/>
        </w:rPr>
        <w:t xml:space="preserve"> </w:t>
      </w:r>
      <w:r w:rsidRPr="008A2060">
        <w:rPr>
          <w:rFonts w:cs="Times"/>
          <w:b/>
          <w:bCs/>
          <w:noProof/>
          <w:szCs w:val="24"/>
        </w:rPr>
        <w:t>2000</w:t>
      </w:r>
      <w:r w:rsidR="00DE1069">
        <w:rPr>
          <w:rFonts w:cs="Times"/>
          <w:noProof/>
          <w:szCs w:val="24"/>
        </w:rPr>
        <w:t>,</w:t>
      </w:r>
      <w:r w:rsidRPr="008A2060">
        <w:rPr>
          <w:rFonts w:cs="Times"/>
          <w:noProof/>
          <w:szCs w:val="24"/>
        </w:rPr>
        <w:t xml:space="preserve"> </w:t>
      </w:r>
      <w:r w:rsidRPr="00DE1069">
        <w:rPr>
          <w:rFonts w:cs="Times"/>
          <w:i/>
          <w:noProof/>
          <w:szCs w:val="24"/>
        </w:rPr>
        <w:t>116</w:t>
      </w:r>
      <w:r w:rsidRPr="008A2060">
        <w:rPr>
          <w:rFonts w:cs="Times"/>
          <w:noProof/>
          <w:szCs w:val="24"/>
        </w:rPr>
        <w:t>, 35-46; discussion 67-75.</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 </w:t>
      </w:r>
      <w:r w:rsidRPr="008A2060">
        <w:rPr>
          <w:rFonts w:cs="Times"/>
          <w:noProof/>
          <w:szCs w:val="24"/>
        </w:rPr>
        <w:tab/>
        <w:t xml:space="preserve">Rezania, A.; Johnson, R.; Lefkow, A. R.; Healy, K. E. Bioactivation of Metal Oxide Surfaces. 1. Surface Characterization and Cell Response. </w:t>
      </w:r>
      <w:r w:rsidRPr="008A2060">
        <w:rPr>
          <w:rFonts w:cs="Times"/>
          <w:i/>
          <w:iCs/>
          <w:noProof/>
          <w:szCs w:val="24"/>
        </w:rPr>
        <w:t>Langmuir</w:t>
      </w:r>
      <w:r w:rsidRPr="008A2060">
        <w:rPr>
          <w:rFonts w:cs="Times"/>
          <w:noProof/>
          <w:szCs w:val="24"/>
        </w:rPr>
        <w:t xml:space="preserve"> </w:t>
      </w:r>
      <w:r w:rsidRPr="008A2060">
        <w:rPr>
          <w:rFonts w:cs="Times"/>
          <w:b/>
          <w:bCs/>
          <w:noProof/>
          <w:szCs w:val="24"/>
        </w:rPr>
        <w:t>1999</w:t>
      </w:r>
      <w:r w:rsidRPr="008A2060">
        <w:rPr>
          <w:rFonts w:cs="Times"/>
          <w:noProof/>
          <w:szCs w:val="24"/>
        </w:rPr>
        <w:t xml:space="preserve">, </w:t>
      </w:r>
      <w:r w:rsidRPr="008A2060">
        <w:rPr>
          <w:rFonts w:cs="Times"/>
          <w:i/>
          <w:iCs/>
          <w:noProof/>
          <w:szCs w:val="24"/>
        </w:rPr>
        <w:t>15</w:t>
      </w:r>
      <w:r w:rsidRPr="008A2060">
        <w:rPr>
          <w:rFonts w:cs="Times"/>
          <w:noProof/>
          <w:szCs w:val="24"/>
        </w:rPr>
        <w:t xml:space="preserve"> (20), 6931–6939.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(7) </w:t>
      </w:r>
      <w:r w:rsidRPr="008A2060">
        <w:rPr>
          <w:rFonts w:cs="Times"/>
          <w:noProof/>
          <w:szCs w:val="24"/>
        </w:rPr>
        <w:tab/>
        <w:t xml:space="preserve">Albrektsson, T.; Brånemark, P. I.; Hansson, H. A.; Kasemo, B.; Larsson, K.; Lundström, </w:t>
      </w:r>
      <w:r w:rsidRPr="008A2060">
        <w:rPr>
          <w:rFonts w:cs="Times"/>
          <w:noProof/>
          <w:szCs w:val="24"/>
        </w:rPr>
        <w:lastRenderedPageBreak/>
        <w:t xml:space="preserve">I.; McQueen, D. H.; Skalak, R. The Interface Zone of Inorganic Implants In Vivo: Titanium Implants in Bone. </w:t>
      </w:r>
      <w:r w:rsidRPr="008A2060">
        <w:rPr>
          <w:rFonts w:cs="Times"/>
          <w:i/>
          <w:iCs/>
          <w:noProof/>
          <w:szCs w:val="24"/>
        </w:rPr>
        <w:t>Ann. Biomed. Eng.</w:t>
      </w:r>
      <w:r w:rsidRPr="008A2060">
        <w:rPr>
          <w:rFonts w:cs="Times"/>
          <w:noProof/>
          <w:szCs w:val="24"/>
        </w:rPr>
        <w:t xml:space="preserve"> </w:t>
      </w:r>
      <w:r w:rsidRPr="008A2060">
        <w:rPr>
          <w:rFonts w:cs="Times"/>
          <w:b/>
          <w:bCs/>
          <w:noProof/>
          <w:szCs w:val="24"/>
        </w:rPr>
        <w:t>1983</w:t>
      </w:r>
      <w:r w:rsidRPr="008A2060">
        <w:rPr>
          <w:rFonts w:cs="Times"/>
          <w:noProof/>
          <w:szCs w:val="24"/>
        </w:rPr>
        <w:t xml:space="preserve">, </w:t>
      </w:r>
      <w:r w:rsidRPr="008A2060">
        <w:rPr>
          <w:rFonts w:cs="Times"/>
          <w:i/>
          <w:iCs/>
          <w:noProof/>
          <w:szCs w:val="24"/>
        </w:rPr>
        <w:t>11</w:t>
      </w:r>
      <w:r w:rsidRPr="008A2060">
        <w:rPr>
          <w:rFonts w:cs="Times"/>
          <w:noProof/>
          <w:szCs w:val="24"/>
        </w:rPr>
        <w:t xml:space="preserve"> (1), 1–27.</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(8) </w:t>
      </w:r>
      <w:r w:rsidRPr="008A2060">
        <w:rPr>
          <w:rFonts w:cs="Times"/>
          <w:noProof/>
          <w:szCs w:val="24"/>
        </w:rPr>
        <w:tab/>
        <w:t xml:space="preserve">Weiner, S. An Overview of Biomineralization Processes and the Problem of the Vital Effect. </w:t>
      </w:r>
      <w:r w:rsidRPr="008A2060">
        <w:rPr>
          <w:rFonts w:cs="Times"/>
          <w:i/>
          <w:iCs/>
          <w:noProof/>
          <w:szCs w:val="24"/>
        </w:rPr>
        <w:t>Rev. Mineral. Geochemistry</w:t>
      </w:r>
      <w:r w:rsidRPr="008A2060">
        <w:rPr>
          <w:rFonts w:cs="Times"/>
          <w:noProof/>
          <w:szCs w:val="24"/>
        </w:rPr>
        <w:t xml:space="preserve"> </w:t>
      </w:r>
      <w:r w:rsidRPr="008A2060">
        <w:rPr>
          <w:rFonts w:cs="Times"/>
          <w:b/>
          <w:bCs/>
          <w:noProof/>
          <w:szCs w:val="24"/>
        </w:rPr>
        <w:t>2003</w:t>
      </w:r>
      <w:r w:rsidRPr="008A2060">
        <w:rPr>
          <w:rFonts w:cs="Times"/>
          <w:noProof/>
          <w:szCs w:val="24"/>
        </w:rPr>
        <w:t xml:space="preserve">, </w:t>
      </w:r>
      <w:r w:rsidRPr="008A2060">
        <w:rPr>
          <w:rFonts w:cs="Times"/>
          <w:i/>
          <w:iCs/>
          <w:noProof/>
          <w:szCs w:val="24"/>
        </w:rPr>
        <w:t>54</w:t>
      </w:r>
      <w:r w:rsidRPr="008A2060">
        <w:rPr>
          <w:rFonts w:cs="Times"/>
          <w:noProof/>
          <w:szCs w:val="24"/>
        </w:rPr>
        <w:t xml:space="preserve"> (1), 1–29.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(9) </w:t>
      </w:r>
      <w:r w:rsidRPr="008A2060">
        <w:rPr>
          <w:rFonts w:cs="Times"/>
          <w:noProof/>
          <w:szCs w:val="24"/>
        </w:rPr>
        <w:tab/>
        <w:t>Durupthy, O.; Bill, J.; Aldinger, F. Bioinspir</w:t>
      </w:r>
      <w:r w:rsidR="00EE5B80">
        <w:rPr>
          <w:rFonts w:cs="Times"/>
          <w:noProof/>
          <w:szCs w:val="24"/>
        </w:rPr>
        <w:t>ed Synthesis of Crystalline TiO</w:t>
      </w:r>
      <w:r w:rsidRPr="00EE5B80">
        <w:rPr>
          <w:rFonts w:cs="Times"/>
          <w:noProof/>
          <w:szCs w:val="24"/>
          <w:vertAlign w:val="subscript"/>
        </w:rPr>
        <w:t>2</w:t>
      </w:r>
      <w:r w:rsidRPr="008A2060">
        <w:rPr>
          <w:rFonts w:cs="Times"/>
          <w:noProof/>
          <w:szCs w:val="24"/>
        </w:rPr>
        <w:t xml:space="preserve"> : Effect of Amino Acids on Nanoparticles Structure and Shape. </w:t>
      </w:r>
      <w:r w:rsidRPr="008A2060">
        <w:rPr>
          <w:rFonts w:cs="Times"/>
          <w:i/>
          <w:iCs/>
          <w:noProof/>
          <w:szCs w:val="24"/>
        </w:rPr>
        <w:t>Cryst. Growth Des.</w:t>
      </w:r>
      <w:r w:rsidRPr="008A2060">
        <w:rPr>
          <w:rFonts w:cs="Times"/>
          <w:noProof/>
          <w:szCs w:val="24"/>
        </w:rPr>
        <w:t xml:space="preserve"> </w:t>
      </w:r>
      <w:r w:rsidRPr="008A2060">
        <w:rPr>
          <w:rFonts w:cs="Times"/>
          <w:b/>
          <w:bCs/>
          <w:noProof/>
          <w:szCs w:val="24"/>
        </w:rPr>
        <w:t>2007</w:t>
      </w:r>
      <w:r w:rsidRPr="008A2060">
        <w:rPr>
          <w:rFonts w:cs="Times"/>
          <w:noProof/>
          <w:szCs w:val="24"/>
        </w:rPr>
        <w:t xml:space="preserve">, </w:t>
      </w:r>
      <w:r w:rsidRPr="008A2060">
        <w:rPr>
          <w:rFonts w:cs="Times"/>
          <w:i/>
          <w:iCs/>
          <w:noProof/>
          <w:szCs w:val="24"/>
        </w:rPr>
        <w:t>7</w:t>
      </w:r>
      <w:r w:rsidRPr="008A2060">
        <w:rPr>
          <w:rFonts w:cs="Times"/>
          <w:noProof/>
          <w:szCs w:val="24"/>
        </w:rPr>
        <w:t xml:space="preserve"> (12), 2696–2704.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(10) </w:t>
      </w:r>
      <w:r w:rsidRPr="008A2060">
        <w:rPr>
          <w:rFonts w:cs="Times"/>
          <w:noProof/>
          <w:szCs w:val="24"/>
        </w:rPr>
        <w:tab/>
        <w:t xml:space="preserve">Köppen, S.; Bronkalla, O.; Langel, W. Adsorption Configurations and Energies of Amino Acids on Anatase and Rutile Surfaces. </w:t>
      </w:r>
      <w:r w:rsidRPr="008A2060">
        <w:rPr>
          <w:rFonts w:cs="Times"/>
          <w:i/>
          <w:iCs/>
          <w:noProof/>
          <w:szCs w:val="24"/>
        </w:rPr>
        <w:t>J. Phys.Chem. C</w:t>
      </w:r>
      <w:r w:rsidRPr="008A2060">
        <w:rPr>
          <w:rFonts w:cs="Times"/>
          <w:noProof/>
          <w:szCs w:val="24"/>
        </w:rPr>
        <w:t xml:space="preserve"> </w:t>
      </w:r>
      <w:r w:rsidRPr="008A2060">
        <w:rPr>
          <w:rFonts w:cs="Times"/>
          <w:b/>
          <w:bCs/>
          <w:noProof/>
          <w:szCs w:val="24"/>
        </w:rPr>
        <w:t>2008</w:t>
      </w:r>
      <w:r w:rsidRPr="008A2060">
        <w:rPr>
          <w:rFonts w:cs="Times"/>
          <w:noProof/>
          <w:szCs w:val="24"/>
        </w:rPr>
        <w:t xml:space="preserve">, </w:t>
      </w:r>
      <w:r w:rsidRPr="008A2060">
        <w:rPr>
          <w:rFonts w:cs="Times"/>
          <w:i/>
          <w:iCs/>
          <w:noProof/>
          <w:szCs w:val="24"/>
        </w:rPr>
        <w:t>112</w:t>
      </w:r>
      <w:r w:rsidRPr="008A2060">
        <w:rPr>
          <w:rFonts w:cs="Times"/>
          <w:noProof/>
          <w:szCs w:val="24"/>
        </w:rPr>
        <w:t>, 13600–13606.</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(11) </w:t>
      </w:r>
      <w:r w:rsidRPr="008A2060">
        <w:rPr>
          <w:rFonts w:cs="Times"/>
          <w:noProof/>
          <w:szCs w:val="24"/>
        </w:rPr>
        <w:tab/>
        <w:t xml:space="preserve">Addadi, L.; Weiner, S. Interactions between Acidic Proteins and Crystals: Stereochemical Requirements in Biomineralization. </w:t>
      </w:r>
      <w:r w:rsidRPr="008A2060">
        <w:rPr>
          <w:rFonts w:cs="Times"/>
          <w:i/>
          <w:iCs/>
          <w:noProof/>
          <w:szCs w:val="24"/>
        </w:rPr>
        <w:t>Proc. Natl. Acad. Sci.</w:t>
      </w:r>
      <w:r w:rsidRPr="008A2060">
        <w:rPr>
          <w:rFonts w:cs="Times"/>
          <w:noProof/>
          <w:szCs w:val="24"/>
        </w:rPr>
        <w:t xml:space="preserve"> </w:t>
      </w:r>
      <w:r w:rsidRPr="008A2060">
        <w:rPr>
          <w:rFonts w:cs="Times"/>
          <w:b/>
          <w:bCs/>
          <w:noProof/>
          <w:szCs w:val="24"/>
        </w:rPr>
        <w:t>1985</w:t>
      </w:r>
      <w:r w:rsidRPr="008A2060">
        <w:rPr>
          <w:rFonts w:cs="Times"/>
          <w:noProof/>
          <w:szCs w:val="24"/>
        </w:rPr>
        <w:t xml:space="preserve">, </w:t>
      </w:r>
      <w:r w:rsidRPr="008A2060">
        <w:rPr>
          <w:rFonts w:cs="Times"/>
          <w:i/>
          <w:iCs/>
          <w:noProof/>
          <w:szCs w:val="24"/>
        </w:rPr>
        <w:t>82</w:t>
      </w:r>
      <w:r w:rsidRPr="008A2060">
        <w:rPr>
          <w:rFonts w:cs="Times"/>
          <w:noProof/>
          <w:szCs w:val="24"/>
        </w:rPr>
        <w:t xml:space="preserve"> (12), 4110–4114.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(12) </w:t>
      </w:r>
      <w:r w:rsidRPr="008A2060">
        <w:rPr>
          <w:rFonts w:cs="Times"/>
          <w:noProof/>
          <w:szCs w:val="24"/>
        </w:rPr>
        <w:tab/>
        <w:t xml:space="preserve">Oren, E. E.; Tamerler, C.; Sahin, D.; Hnilova, M.; Seker, U. O. S.; Sarikaya, M.; Samudrala, R. A Novel Knowledge-Based Approach to Design Inorganic-Binding Peptides. </w:t>
      </w:r>
      <w:r w:rsidRPr="008A2060">
        <w:rPr>
          <w:rFonts w:cs="Times"/>
          <w:i/>
          <w:iCs/>
          <w:noProof/>
          <w:szCs w:val="24"/>
        </w:rPr>
        <w:t>Bioinformatics</w:t>
      </w:r>
      <w:r w:rsidRPr="008A2060">
        <w:rPr>
          <w:rFonts w:cs="Times"/>
          <w:noProof/>
          <w:szCs w:val="24"/>
        </w:rPr>
        <w:t xml:space="preserve"> </w:t>
      </w:r>
      <w:r w:rsidRPr="008A2060">
        <w:rPr>
          <w:rFonts w:cs="Times"/>
          <w:b/>
          <w:bCs/>
          <w:noProof/>
          <w:szCs w:val="24"/>
        </w:rPr>
        <w:t>2007</w:t>
      </w:r>
      <w:r w:rsidRPr="008A2060">
        <w:rPr>
          <w:rFonts w:cs="Times"/>
          <w:noProof/>
          <w:szCs w:val="24"/>
        </w:rPr>
        <w:t xml:space="preserve">, </w:t>
      </w:r>
      <w:r w:rsidRPr="008A2060">
        <w:rPr>
          <w:rFonts w:cs="Times"/>
          <w:i/>
          <w:iCs/>
          <w:noProof/>
          <w:szCs w:val="24"/>
        </w:rPr>
        <w:t>23</w:t>
      </w:r>
      <w:r w:rsidRPr="008A2060">
        <w:rPr>
          <w:rFonts w:cs="Times"/>
          <w:noProof/>
          <w:szCs w:val="24"/>
        </w:rPr>
        <w:t xml:space="preserve"> (21), 2816–2822.</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(13) </w:t>
      </w:r>
      <w:r w:rsidRPr="008A2060">
        <w:rPr>
          <w:rFonts w:cs="Times"/>
          <w:noProof/>
          <w:szCs w:val="24"/>
        </w:rPr>
        <w:tab/>
        <w:t xml:space="preserve">Roddick-Lanzilotta, A. D.; Connor, P. A.; Mcquillan, A. J. An In Situ Infrared Spectroscopic Study of the Adsorption of Lysine to TiO 2 from an Aqueous Solution. </w:t>
      </w:r>
      <w:r w:rsidRPr="008A2060">
        <w:rPr>
          <w:rFonts w:cs="Times"/>
          <w:i/>
          <w:iCs/>
          <w:noProof/>
          <w:szCs w:val="24"/>
        </w:rPr>
        <w:t>Langmuir</w:t>
      </w:r>
      <w:r w:rsidRPr="008A2060">
        <w:rPr>
          <w:rFonts w:cs="Times"/>
          <w:noProof/>
          <w:szCs w:val="24"/>
        </w:rPr>
        <w:t xml:space="preserve"> </w:t>
      </w:r>
      <w:r w:rsidRPr="008A2060">
        <w:rPr>
          <w:rFonts w:cs="Times"/>
          <w:b/>
          <w:bCs/>
          <w:noProof/>
          <w:szCs w:val="24"/>
        </w:rPr>
        <w:t>1998</w:t>
      </w:r>
      <w:r w:rsidRPr="008A2060">
        <w:rPr>
          <w:rFonts w:cs="Times"/>
          <w:noProof/>
          <w:szCs w:val="24"/>
        </w:rPr>
        <w:t xml:space="preserve">, </w:t>
      </w:r>
      <w:r w:rsidRPr="008A2060">
        <w:rPr>
          <w:rFonts w:cs="Times"/>
          <w:i/>
          <w:iCs/>
          <w:noProof/>
          <w:szCs w:val="24"/>
        </w:rPr>
        <w:t>14</w:t>
      </w:r>
      <w:r w:rsidRPr="008A2060">
        <w:rPr>
          <w:rFonts w:cs="Times"/>
          <w:noProof/>
          <w:szCs w:val="24"/>
        </w:rPr>
        <w:t>, 6479–6484.</w:t>
      </w:r>
    </w:p>
    <w:p w:rsidR="008A2060" w:rsidRPr="00EE5B8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(14) </w:t>
      </w:r>
      <w:r w:rsidRPr="008A2060">
        <w:rPr>
          <w:rFonts w:cs="Times"/>
          <w:noProof/>
          <w:szCs w:val="24"/>
        </w:rPr>
        <w:tab/>
        <w:t>Carravetta, V.; Monti, S. Peptide-TiO</w:t>
      </w:r>
      <w:r w:rsidRPr="00EE5B80">
        <w:rPr>
          <w:rFonts w:cs="Times"/>
          <w:noProof/>
          <w:szCs w:val="24"/>
          <w:vertAlign w:val="subscript"/>
        </w:rPr>
        <w:t>2</w:t>
      </w:r>
      <w:r w:rsidRPr="008A2060">
        <w:rPr>
          <w:rFonts w:cs="Times"/>
          <w:noProof/>
          <w:szCs w:val="24"/>
        </w:rPr>
        <w:t xml:space="preserve"> Surface Interaction in Solution by Ab Initio and Molecular Dynamics Simulations. </w:t>
      </w:r>
      <w:r w:rsidRPr="008A2060">
        <w:rPr>
          <w:rFonts w:cs="Times"/>
          <w:i/>
          <w:iCs/>
          <w:noProof/>
          <w:szCs w:val="24"/>
        </w:rPr>
        <w:t>J. Phys. Chem. B</w:t>
      </w:r>
      <w:r w:rsidRPr="008A2060">
        <w:rPr>
          <w:rFonts w:cs="Times"/>
          <w:noProof/>
          <w:szCs w:val="24"/>
        </w:rPr>
        <w:t xml:space="preserve"> </w:t>
      </w:r>
      <w:r w:rsidRPr="008A2060">
        <w:rPr>
          <w:rFonts w:cs="Times"/>
          <w:b/>
          <w:bCs/>
          <w:noProof/>
          <w:szCs w:val="24"/>
        </w:rPr>
        <w:t>2006</w:t>
      </w:r>
      <w:r w:rsidR="00EE5B80">
        <w:rPr>
          <w:rFonts w:cs="Times"/>
          <w:noProof/>
          <w:szCs w:val="24"/>
        </w:rPr>
        <w:t xml:space="preserve">, </w:t>
      </w:r>
      <w:r w:rsidR="00EE5B80" w:rsidRPr="00EE5B80">
        <w:rPr>
          <w:rFonts w:cs="Times"/>
          <w:i/>
          <w:noProof/>
          <w:szCs w:val="24"/>
        </w:rPr>
        <w:t>110</w:t>
      </w:r>
      <w:r w:rsidR="00EE5B80">
        <w:rPr>
          <w:rFonts w:cs="Times"/>
          <w:noProof/>
          <w:szCs w:val="24"/>
        </w:rPr>
        <w:t xml:space="preserve"> (12), 6160</w:t>
      </w:r>
      <w:r w:rsidR="00EE5B80" w:rsidRPr="008A2060">
        <w:rPr>
          <w:rFonts w:cs="Times"/>
          <w:noProof/>
          <w:szCs w:val="24"/>
        </w:rPr>
        <w:t>–</w:t>
      </w:r>
      <w:r w:rsidR="00EE5B80">
        <w:rPr>
          <w:rFonts w:cs="Times"/>
          <w:noProof/>
          <w:szCs w:val="24"/>
        </w:rPr>
        <w:t>6169.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(15) </w:t>
      </w:r>
      <w:r w:rsidRPr="008A2060">
        <w:rPr>
          <w:rFonts w:cs="Times"/>
          <w:noProof/>
          <w:szCs w:val="24"/>
        </w:rPr>
        <w:tab/>
        <w:t xml:space="preserve">Okazaki S., Aoki T., T. K. The Adsorption of Basic α-Amino Acids in an Aqueous Solution by Titanium(IV) Oxide. </w:t>
      </w:r>
      <w:r w:rsidRPr="008A2060">
        <w:rPr>
          <w:rFonts w:cs="Times"/>
          <w:i/>
          <w:iCs/>
          <w:noProof/>
          <w:szCs w:val="24"/>
        </w:rPr>
        <w:t>Bull. Chem. Soc. Jpn.</w:t>
      </w:r>
      <w:r w:rsidRPr="008A2060">
        <w:rPr>
          <w:rFonts w:cs="Times"/>
          <w:noProof/>
          <w:szCs w:val="24"/>
        </w:rPr>
        <w:t xml:space="preserve"> </w:t>
      </w:r>
      <w:r w:rsidRPr="008A2060">
        <w:rPr>
          <w:rFonts w:cs="Times"/>
          <w:b/>
          <w:bCs/>
          <w:noProof/>
          <w:szCs w:val="24"/>
        </w:rPr>
        <w:t>1981</w:t>
      </w:r>
      <w:r w:rsidRPr="008A2060">
        <w:rPr>
          <w:rFonts w:cs="Times"/>
          <w:noProof/>
          <w:szCs w:val="24"/>
        </w:rPr>
        <w:t xml:space="preserve">, </w:t>
      </w:r>
      <w:r w:rsidRPr="008A2060">
        <w:rPr>
          <w:rFonts w:cs="Times"/>
          <w:i/>
          <w:iCs/>
          <w:noProof/>
          <w:szCs w:val="24"/>
        </w:rPr>
        <w:t>54</w:t>
      </w:r>
      <w:r w:rsidRPr="008A2060">
        <w:rPr>
          <w:rFonts w:cs="Times"/>
          <w:noProof/>
          <w:szCs w:val="24"/>
        </w:rPr>
        <w:t>, 1595–1599.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lastRenderedPageBreak/>
        <w:t xml:space="preserve">(16) </w:t>
      </w:r>
      <w:r w:rsidRPr="008A2060">
        <w:rPr>
          <w:rFonts w:cs="Times"/>
          <w:noProof/>
          <w:szCs w:val="24"/>
        </w:rPr>
        <w:tab/>
        <w:t>Mudunkotuwa, I. A.; Grassian, V. H. Histidine Adsorption on TiO</w:t>
      </w:r>
      <w:r w:rsidRPr="00EE5B80">
        <w:rPr>
          <w:rFonts w:cs="Times"/>
          <w:noProof/>
          <w:szCs w:val="24"/>
          <w:vertAlign w:val="subscript"/>
        </w:rPr>
        <w:t>2</w:t>
      </w:r>
      <w:r w:rsidRPr="008A2060">
        <w:rPr>
          <w:rFonts w:cs="Times"/>
          <w:noProof/>
          <w:szCs w:val="24"/>
        </w:rPr>
        <w:t xml:space="preserve"> Nanoparticles: An Integrated Spectroscopic, Thermodynamic, and Molecular-Based Approach toward Understanding Nano-Bio Interactions. </w:t>
      </w:r>
      <w:r w:rsidRPr="008A2060">
        <w:rPr>
          <w:rFonts w:cs="Times"/>
          <w:i/>
          <w:iCs/>
          <w:noProof/>
          <w:szCs w:val="24"/>
        </w:rPr>
        <w:t>Langmuir</w:t>
      </w:r>
      <w:r w:rsidRPr="008A2060">
        <w:rPr>
          <w:rFonts w:cs="Times"/>
          <w:noProof/>
          <w:szCs w:val="24"/>
        </w:rPr>
        <w:t xml:space="preserve"> </w:t>
      </w:r>
      <w:r w:rsidRPr="008A2060">
        <w:rPr>
          <w:rFonts w:cs="Times"/>
          <w:b/>
          <w:bCs/>
          <w:noProof/>
          <w:szCs w:val="24"/>
        </w:rPr>
        <w:t>2014</w:t>
      </w:r>
      <w:r w:rsidR="00EE5B80">
        <w:rPr>
          <w:rFonts w:cs="Times"/>
          <w:noProof/>
          <w:szCs w:val="24"/>
        </w:rPr>
        <w:t xml:space="preserve">, </w:t>
      </w:r>
      <w:r w:rsidR="00EE5B80" w:rsidRPr="00EE5B80">
        <w:rPr>
          <w:rFonts w:cs="Times"/>
          <w:i/>
          <w:noProof/>
          <w:szCs w:val="24"/>
        </w:rPr>
        <w:t>30</w:t>
      </w:r>
      <w:r w:rsidR="00EE5B80">
        <w:rPr>
          <w:rFonts w:cs="Times"/>
          <w:noProof/>
          <w:szCs w:val="24"/>
        </w:rPr>
        <w:t>, 8751</w:t>
      </w:r>
      <w:r w:rsidR="00EE5B80" w:rsidRPr="008A2060">
        <w:rPr>
          <w:rFonts w:cs="Times"/>
          <w:noProof/>
          <w:szCs w:val="24"/>
        </w:rPr>
        <w:t>–</w:t>
      </w:r>
      <w:r w:rsidR="00EE5B80">
        <w:rPr>
          <w:rFonts w:cs="Times"/>
          <w:noProof/>
          <w:szCs w:val="24"/>
        </w:rPr>
        <w:t>8760.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(17) </w:t>
      </w:r>
      <w:r w:rsidRPr="008A2060">
        <w:rPr>
          <w:rFonts w:cs="Times"/>
          <w:noProof/>
          <w:szCs w:val="24"/>
        </w:rPr>
        <w:tab/>
        <w:t>Roddick-Lanzilotta, A. D.; McQuillan, A. J. An in Situ Infrared Spectroscopic Study of Glutamic Acid and of Aspartic Acid Adsorbed on TiO</w:t>
      </w:r>
      <w:r w:rsidRPr="00094815">
        <w:rPr>
          <w:rFonts w:cs="Times"/>
          <w:noProof/>
          <w:szCs w:val="24"/>
          <w:vertAlign w:val="subscript"/>
        </w:rPr>
        <w:t>2</w:t>
      </w:r>
      <w:r w:rsidRPr="008A2060">
        <w:rPr>
          <w:rFonts w:cs="Times"/>
          <w:noProof/>
          <w:szCs w:val="24"/>
        </w:rPr>
        <w:t xml:space="preserve">: Implications for the Biocompatibility of Titanium. </w:t>
      </w:r>
      <w:r w:rsidRPr="008A2060">
        <w:rPr>
          <w:rFonts w:cs="Times"/>
          <w:i/>
          <w:iCs/>
          <w:noProof/>
          <w:szCs w:val="24"/>
        </w:rPr>
        <w:t>J. Colloid Interface Sci.</w:t>
      </w:r>
      <w:r w:rsidRPr="008A2060">
        <w:rPr>
          <w:rFonts w:cs="Times"/>
          <w:noProof/>
          <w:szCs w:val="24"/>
        </w:rPr>
        <w:t xml:space="preserve"> </w:t>
      </w:r>
      <w:r w:rsidRPr="008A2060">
        <w:rPr>
          <w:rFonts w:cs="Times"/>
          <w:b/>
          <w:bCs/>
          <w:noProof/>
          <w:szCs w:val="24"/>
        </w:rPr>
        <w:t>2000</w:t>
      </w:r>
      <w:r w:rsidRPr="008A2060">
        <w:rPr>
          <w:rFonts w:cs="Times"/>
          <w:noProof/>
          <w:szCs w:val="24"/>
        </w:rPr>
        <w:t xml:space="preserve">, </w:t>
      </w:r>
      <w:r w:rsidRPr="008A2060">
        <w:rPr>
          <w:rFonts w:cs="Times"/>
          <w:i/>
          <w:iCs/>
          <w:noProof/>
          <w:szCs w:val="24"/>
        </w:rPr>
        <w:t>227</w:t>
      </w:r>
      <w:r w:rsidRPr="008A2060">
        <w:rPr>
          <w:rFonts w:cs="Times"/>
          <w:noProof/>
          <w:szCs w:val="24"/>
        </w:rPr>
        <w:t xml:space="preserve"> (1), 48–54.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(18) </w:t>
      </w:r>
      <w:r w:rsidRPr="008A2060">
        <w:rPr>
          <w:rFonts w:cs="Times"/>
          <w:noProof/>
          <w:szCs w:val="24"/>
        </w:rPr>
        <w:tab/>
        <w:t>Pászti, Z.; Guczi, L. Amino Acid Adsorption on Hydrophilic TiO</w:t>
      </w:r>
      <w:r w:rsidRPr="00094815">
        <w:rPr>
          <w:rFonts w:cs="Times"/>
          <w:noProof/>
          <w:szCs w:val="24"/>
          <w:vertAlign w:val="subscript"/>
        </w:rPr>
        <w:t>2</w:t>
      </w:r>
      <w:r w:rsidRPr="008A2060">
        <w:rPr>
          <w:rFonts w:cs="Times"/>
          <w:noProof/>
          <w:szCs w:val="24"/>
        </w:rPr>
        <w:t xml:space="preserve">: A Sum Frequency Generation Vibrational Spectroscopy Study. </w:t>
      </w:r>
      <w:r w:rsidRPr="008A2060">
        <w:rPr>
          <w:rFonts w:cs="Times"/>
          <w:i/>
          <w:iCs/>
          <w:noProof/>
          <w:szCs w:val="24"/>
        </w:rPr>
        <w:t>Vib. Spectrosc.</w:t>
      </w:r>
      <w:r w:rsidRPr="008A2060">
        <w:rPr>
          <w:rFonts w:cs="Times"/>
          <w:noProof/>
          <w:szCs w:val="24"/>
        </w:rPr>
        <w:t xml:space="preserve"> </w:t>
      </w:r>
      <w:r w:rsidRPr="008A2060">
        <w:rPr>
          <w:rFonts w:cs="Times"/>
          <w:b/>
          <w:bCs/>
          <w:noProof/>
          <w:szCs w:val="24"/>
        </w:rPr>
        <w:t>2009</w:t>
      </w:r>
      <w:r w:rsidRPr="008A2060">
        <w:rPr>
          <w:rFonts w:cs="Times"/>
          <w:noProof/>
          <w:szCs w:val="24"/>
        </w:rPr>
        <w:t xml:space="preserve">, </w:t>
      </w:r>
      <w:r w:rsidRPr="008A2060">
        <w:rPr>
          <w:rFonts w:cs="Times"/>
          <w:i/>
          <w:iCs/>
          <w:noProof/>
          <w:szCs w:val="24"/>
        </w:rPr>
        <w:t>50</w:t>
      </w:r>
      <w:r w:rsidRPr="008A2060">
        <w:rPr>
          <w:rFonts w:cs="Times"/>
          <w:noProof/>
          <w:szCs w:val="24"/>
        </w:rPr>
        <w:t xml:space="preserve"> (1), 48–56.</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(19) </w:t>
      </w:r>
      <w:r w:rsidRPr="008A2060">
        <w:rPr>
          <w:rFonts w:cs="Times"/>
          <w:noProof/>
          <w:szCs w:val="24"/>
        </w:rPr>
        <w:tab/>
        <w:t xml:space="preserve">Schmidt, M.; </w:t>
      </w:r>
      <w:r w:rsidRPr="00400A92">
        <w:rPr>
          <w:rFonts w:cs="Times"/>
          <w:noProof/>
          <w:szCs w:val="24"/>
        </w:rPr>
        <w:t>Steinemann</w:t>
      </w:r>
      <w:r w:rsidRPr="008A2060">
        <w:rPr>
          <w:rFonts w:cs="Times"/>
          <w:noProof/>
          <w:szCs w:val="24"/>
        </w:rPr>
        <w:t xml:space="preserve">, S. G. XPS Studies of Amino Acids Adsorbed on Titanium Dioxide Surfaces. </w:t>
      </w:r>
      <w:r w:rsidRPr="008A2060">
        <w:rPr>
          <w:rFonts w:cs="Times"/>
          <w:i/>
          <w:iCs/>
          <w:noProof/>
          <w:szCs w:val="24"/>
        </w:rPr>
        <w:t>Fresenius J Anal Chem</w:t>
      </w:r>
      <w:r w:rsidRPr="008A2060">
        <w:rPr>
          <w:rFonts w:cs="Times"/>
          <w:noProof/>
          <w:szCs w:val="24"/>
        </w:rPr>
        <w:t xml:space="preserve"> </w:t>
      </w:r>
      <w:r w:rsidRPr="008A2060">
        <w:rPr>
          <w:rFonts w:cs="Times"/>
          <w:b/>
          <w:bCs/>
          <w:noProof/>
          <w:szCs w:val="24"/>
        </w:rPr>
        <w:t>1991</w:t>
      </w:r>
      <w:r w:rsidRPr="008A2060">
        <w:rPr>
          <w:rFonts w:cs="Times"/>
          <w:noProof/>
          <w:szCs w:val="24"/>
        </w:rPr>
        <w:t xml:space="preserve">, </w:t>
      </w:r>
      <w:r w:rsidRPr="008A2060">
        <w:rPr>
          <w:rFonts w:cs="Times"/>
          <w:i/>
          <w:iCs/>
          <w:noProof/>
          <w:szCs w:val="24"/>
        </w:rPr>
        <w:t>341</w:t>
      </w:r>
      <w:r w:rsidRPr="008A2060">
        <w:rPr>
          <w:rFonts w:cs="Times"/>
          <w:noProof/>
          <w:szCs w:val="24"/>
        </w:rPr>
        <w:t>, 412–415.</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(20) </w:t>
      </w:r>
      <w:r w:rsidRPr="008A2060">
        <w:rPr>
          <w:rFonts w:cs="Times"/>
          <w:noProof/>
          <w:szCs w:val="24"/>
        </w:rPr>
        <w:tab/>
        <w:t>Ataman, E.; Isvoranu, C.; Knudsen, J.; Schulte, K.; Andersen, J. N.; Schnadt, J. Adsorption of L-Cysteine on Rutile TiO</w:t>
      </w:r>
      <w:r w:rsidRPr="00094815">
        <w:rPr>
          <w:rFonts w:cs="Times"/>
          <w:noProof/>
          <w:szCs w:val="24"/>
          <w:vertAlign w:val="subscript"/>
        </w:rPr>
        <w:t>2</w:t>
      </w:r>
      <w:r w:rsidRPr="008A2060">
        <w:rPr>
          <w:rFonts w:cs="Times"/>
          <w:noProof/>
          <w:szCs w:val="24"/>
        </w:rPr>
        <w:t xml:space="preserve">(110). </w:t>
      </w:r>
      <w:r w:rsidRPr="008A2060">
        <w:rPr>
          <w:rFonts w:cs="Times"/>
          <w:i/>
          <w:iCs/>
          <w:noProof/>
          <w:szCs w:val="24"/>
        </w:rPr>
        <w:t>Surf. Sci.</w:t>
      </w:r>
      <w:r w:rsidRPr="008A2060">
        <w:rPr>
          <w:rFonts w:cs="Times"/>
          <w:noProof/>
          <w:szCs w:val="24"/>
        </w:rPr>
        <w:t xml:space="preserve"> </w:t>
      </w:r>
      <w:r w:rsidRPr="008A2060">
        <w:rPr>
          <w:rFonts w:cs="Times"/>
          <w:b/>
          <w:bCs/>
          <w:noProof/>
          <w:szCs w:val="24"/>
        </w:rPr>
        <w:t>2011</w:t>
      </w:r>
      <w:r w:rsidRPr="008A2060">
        <w:rPr>
          <w:rFonts w:cs="Times"/>
          <w:noProof/>
          <w:szCs w:val="24"/>
        </w:rPr>
        <w:t xml:space="preserve">, </w:t>
      </w:r>
      <w:r w:rsidRPr="008A2060">
        <w:rPr>
          <w:rFonts w:cs="Times"/>
          <w:i/>
          <w:iCs/>
          <w:noProof/>
          <w:szCs w:val="24"/>
        </w:rPr>
        <w:t>605</w:t>
      </w:r>
      <w:r w:rsidRPr="008A2060">
        <w:rPr>
          <w:rFonts w:cs="Times"/>
          <w:noProof/>
          <w:szCs w:val="24"/>
        </w:rPr>
        <w:t xml:space="preserve"> (1–2), 179–186.</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(21) </w:t>
      </w:r>
      <w:r w:rsidRPr="008A2060">
        <w:rPr>
          <w:rFonts w:cs="Times"/>
          <w:noProof/>
          <w:szCs w:val="24"/>
        </w:rPr>
        <w:tab/>
        <w:t>Giacomelli, C.; Avena, M.; Pauli, C. De. Aspartic Acid Adsorption onto TiO</w:t>
      </w:r>
      <w:r w:rsidRPr="00094815">
        <w:rPr>
          <w:rFonts w:cs="Times"/>
          <w:noProof/>
          <w:szCs w:val="24"/>
          <w:vertAlign w:val="subscript"/>
        </w:rPr>
        <w:t>2</w:t>
      </w:r>
      <w:r w:rsidRPr="008A2060">
        <w:rPr>
          <w:rFonts w:cs="Times"/>
          <w:noProof/>
          <w:szCs w:val="24"/>
        </w:rPr>
        <w:t xml:space="preserve"> Particles Surface. Experimental Data and Model Calculations. </w:t>
      </w:r>
      <w:r w:rsidRPr="008A2060">
        <w:rPr>
          <w:rFonts w:cs="Times"/>
          <w:i/>
          <w:iCs/>
          <w:noProof/>
          <w:szCs w:val="24"/>
        </w:rPr>
        <w:t>Langmuir</w:t>
      </w:r>
      <w:r w:rsidRPr="008A2060">
        <w:rPr>
          <w:rFonts w:cs="Times"/>
          <w:b/>
          <w:bCs/>
          <w:noProof/>
          <w:szCs w:val="24"/>
        </w:rPr>
        <w:t>1995</w:t>
      </w:r>
      <w:r w:rsidR="00094815">
        <w:rPr>
          <w:rFonts w:cs="Times"/>
          <w:noProof/>
          <w:szCs w:val="24"/>
        </w:rPr>
        <w:t>,</w:t>
      </w:r>
      <w:r w:rsidRPr="008A2060">
        <w:rPr>
          <w:rFonts w:cs="Times"/>
          <w:noProof/>
          <w:szCs w:val="24"/>
        </w:rPr>
        <w:t xml:space="preserve"> </w:t>
      </w:r>
      <w:r w:rsidRPr="00094815">
        <w:rPr>
          <w:rFonts w:cs="Times"/>
          <w:i/>
          <w:noProof/>
          <w:szCs w:val="24"/>
        </w:rPr>
        <w:t>16</w:t>
      </w:r>
      <w:r w:rsidRPr="008A2060">
        <w:rPr>
          <w:rFonts w:cs="Times"/>
          <w:noProof/>
          <w:szCs w:val="24"/>
        </w:rPr>
        <w:t>, 3483–3490.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(22) </w:t>
      </w:r>
      <w:r w:rsidRPr="008A2060">
        <w:rPr>
          <w:rFonts w:cs="Times"/>
          <w:noProof/>
          <w:szCs w:val="24"/>
        </w:rPr>
        <w:tab/>
        <w:t xml:space="preserve">Costa, D.; Savio, L.; Pradier, C. M. Adsorption of Amino Acids and Peptides on Metal and Oxide Surfaces in Water Environment: A Synthetic and Prospective Review. </w:t>
      </w:r>
      <w:r w:rsidRPr="008A2060">
        <w:rPr>
          <w:rFonts w:cs="Times"/>
          <w:i/>
          <w:iCs/>
          <w:noProof/>
          <w:szCs w:val="24"/>
        </w:rPr>
        <w:t>J. Phys. Chem. B</w:t>
      </w:r>
      <w:r w:rsidRPr="008A2060">
        <w:rPr>
          <w:rFonts w:cs="Times"/>
          <w:noProof/>
          <w:szCs w:val="24"/>
        </w:rPr>
        <w:t xml:space="preserve"> </w:t>
      </w:r>
      <w:r w:rsidRPr="008A2060">
        <w:rPr>
          <w:rFonts w:cs="Times"/>
          <w:b/>
          <w:bCs/>
          <w:noProof/>
          <w:szCs w:val="24"/>
        </w:rPr>
        <w:t>2016</w:t>
      </w:r>
      <w:r w:rsidRPr="008A2060">
        <w:rPr>
          <w:rFonts w:cs="Times"/>
          <w:noProof/>
          <w:szCs w:val="24"/>
        </w:rPr>
        <w:t xml:space="preserve">, </w:t>
      </w:r>
      <w:r w:rsidRPr="008A2060">
        <w:rPr>
          <w:rFonts w:cs="Times"/>
          <w:i/>
          <w:iCs/>
          <w:noProof/>
          <w:szCs w:val="24"/>
        </w:rPr>
        <w:t>120</w:t>
      </w:r>
      <w:r w:rsidRPr="008A2060">
        <w:rPr>
          <w:rFonts w:cs="Times"/>
          <w:noProof/>
          <w:szCs w:val="24"/>
        </w:rPr>
        <w:t xml:space="preserve"> (29), 7039–7052.</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(23) </w:t>
      </w:r>
      <w:r w:rsidRPr="008A2060">
        <w:rPr>
          <w:rFonts w:cs="Times"/>
          <w:noProof/>
          <w:szCs w:val="24"/>
        </w:rPr>
        <w:tab/>
        <w:t>Agosta, L.; Zollo, G.; Arcangeli, C.; Buonocore, F.; Gala, F.; Celino, M. Water Driven Adsorption of Amino</w:t>
      </w:r>
      <w:r w:rsidR="00094815">
        <w:rPr>
          <w:rFonts w:cs="Times"/>
          <w:noProof/>
          <w:szCs w:val="24"/>
        </w:rPr>
        <w:t xml:space="preserve"> Acids on the (101) Anatase TiO</w:t>
      </w:r>
      <w:r w:rsidRPr="00094815">
        <w:rPr>
          <w:rFonts w:cs="Times"/>
          <w:noProof/>
          <w:szCs w:val="24"/>
          <w:vertAlign w:val="subscript"/>
        </w:rPr>
        <w:t>2</w:t>
      </w:r>
      <w:r w:rsidRPr="008A2060">
        <w:rPr>
          <w:rFonts w:cs="Times"/>
          <w:noProof/>
          <w:szCs w:val="24"/>
        </w:rPr>
        <w:t xml:space="preserve"> Surface: An Ab Initio Study. </w:t>
      </w:r>
      <w:r w:rsidRPr="008A2060">
        <w:rPr>
          <w:rFonts w:cs="Times"/>
          <w:i/>
          <w:iCs/>
          <w:noProof/>
          <w:szCs w:val="24"/>
        </w:rPr>
        <w:t>Phys. Chem. Chem. Phys.</w:t>
      </w:r>
      <w:r w:rsidRPr="008A2060">
        <w:rPr>
          <w:rFonts w:cs="Times"/>
          <w:noProof/>
          <w:szCs w:val="24"/>
        </w:rPr>
        <w:t xml:space="preserve"> </w:t>
      </w:r>
      <w:r w:rsidRPr="008A2060">
        <w:rPr>
          <w:rFonts w:cs="Times"/>
          <w:b/>
          <w:bCs/>
          <w:noProof/>
          <w:szCs w:val="24"/>
        </w:rPr>
        <w:t>2015</w:t>
      </w:r>
      <w:r w:rsidRPr="008A2060">
        <w:rPr>
          <w:rFonts w:cs="Times"/>
          <w:noProof/>
          <w:szCs w:val="24"/>
        </w:rPr>
        <w:t xml:space="preserve">, </w:t>
      </w:r>
      <w:r w:rsidRPr="008A2060">
        <w:rPr>
          <w:rFonts w:cs="Times"/>
          <w:i/>
          <w:iCs/>
          <w:noProof/>
          <w:szCs w:val="24"/>
        </w:rPr>
        <w:t>17</w:t>
      </w:r>
      <w:r w:rsidRPr="008A2060">
        <w:rPr>
          <w:rFonts w:cs="Times"/>
          <w:noProof/>
          <w:szCs w:val="24"/>
        </w:rPr>
        <w:t xml:space="preserve"> (17), 1556–1561.</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(24) </w:t>
      </w:r>
      <w:r w:rsidRPr="008A2060">
        <w:rPr>
          <w:rFonts w:cs="Times"/>
          <w:noProof/>
          <w:szCs w:val="24"/>
        </w:rPr>
        <w:tab/>
        <w:t xml:space="preserve">Li, W.; Kotsis, K.; Manzhos, S. Comparative Density Functional Theory and Density </w:t>
      </w:r>
      <w:r w:rsidRPr="008A2060">
        <w:rPr>
          <w:rFonts w:cs="Times"/>
          <w:noProof/>
          <w:szCs w:val="24"/>
        </w:rPr>
        <w:lastRenderedPageBreak/>
        <w:t xml:space="preserve">Functional Tight Binding Study of Arginine and Arginine-Rich </w:t>
      </w:r>
      <w:r w:rsidRPr="00AC56EF">
        <w:rPr>
          <w:rFonts w:cs="Times"/>
          <w:noProof/>
          <w:szCs w:val="24"/>
        </w:rPr>
        <w:t>Cell Penetrating</w:t>
      </w:r>
      <w:r w:rsidRPr="008A2060">
        <w:rPr>
          <w:rFonts w:cs="Times"/>
          <w:noProof/>
          <w:szCs w:val="24"/>
        </w:rPr>
        <w:t xml:space="preserve"> Peptid</w:t>
      </w:r>
      <w:r w:rsidR="00094815">
        <w:rPr>
          <w:rFonts w:cs="Times"/>
          <w:noProof/>
          <w:szCs w:val="24"/>
        </w:rPr>
        <w:t>e TAT Adsorption on Anatase TiO</w:t>
      </w:r>
      <w:r w:rsidRPr="008A2060">
        <w:rPr>
          <w:rFonts w:cs="Times"/>
          <w:noProof/>
          <w:szCs w:val="24"/>
          <w:vertAlign w:val="subscript"/>
        </w:rPr>
        <w:t>2</w:t>
      </w:r>
      <w:r w:rsidRPr="008A2060">
        <w:rPr>
          <w:rFonts w:cs="Times"/>
          <w:noProof/>
          <w:szCs w:val="24"/>
        </w:rPr>
        <w:t xml:space="preserve">. </w:t>
      </w:r>
      <w:r w:rsidRPr="008A2060">
        <w:rPr>
          <w:rFonts w:cs="Times"/>
          <w:i/>
          <w:iCs/>
          <w:noProof/>
          <w:szCs w:val="24"/>
        </w:rPr>
        <w:t>Phys. Chem. Chem. Phys.</w:t>
      </w:r>
      <w:r w:rsidRPr="008A2060">
        <w:rPr>
          <w:rFonts w:cs="Times"/>
          <w:noProof/>
          <w:szCs w:val="24"/>
        </w:rPr>
        <w:t xml:space="preserve"> </w:t>
      </w:r>
      <w:r w:rsidRPr="008A2060">
        <w:rPr>
          <w:rFonts w:cs="Times"/>
          <w:b/>
          <w:bCs/>
          <w:noProof/>
          <w:szCs w:val="24"/>
        </w:rPr>
        <w:t>2016</w:t>
      </w:r>
      <w:r w:rsidRPr="008A2060">
        <w:rPr>
          <w:rFonts w:cs="Times"/>
          <w:noProof/>
          <w:szCs w:val="24"/>
        </w:rPr>
        <w:t xml:space="preserve">, </w:t>
      </w:r>
      <w:r w:rsidRPr="008A2060">
        <w:rPr>
          <w:rFonts w:cs="Times"/>
          <w:i/>
          <w:iCs/>
          <w:noProof/>
          <w:szCs w:val="24"/>
        </w:rPr>
        <w:t>18</w:t>
      </w:r>
      <w:r w:rsidRPr="008A2060">
        <w:rPr>
          <w:rFonts w:cs="Times"/>
          <w:noProof/>
          <w:szCs w:val="24"/>
        </w:rPr>
        <w:t xml:space="preserve"> (29), 19902–19917.</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(25) </w:t>
      </w:r>
      <w:r w:rsidRPr="008A2060">
        <w:rPr>
          <w:rFonts w:cs="Times"/>
          <w:noProof/>
          <w:szCs w:val="24"/>
        </w:rPr>
        <w:tab/>
        <w:t>Pantaleone, S.; Rimola, A.; Sodupe, M. Canonical, Deprotonated, or Zwitterionic? A Computational Study on Amino Acid Interaction with the TiO</w:t>
      </w:r>
      <w:r w:rsidRPr="00094815">
        <w:rPr>
          <w:rFonts w:cs="Times"/>
          <w:noProof/>
          <w:szCs w:val="24"/>
          <w:vertAlign w:val="subscript"/>
        </w:rPr>
        <w:t>2</w:t>
      </w:r>
      <w:r w:rsidR="00D941A8" w:rsidRPr="00D941A8">
        <w:rPr>
          <w:rFonts w:cs="Times"/>
          <w:noProof/>
          <w:szCs w:val="24"/>
        </w:rPr>
        <w:t xml:space="preserve"> </w:t>
      </w:r>
      <w:r w:rsidRPr="008A2060">
        <w:rPr>
          <w:rFonts w:cs="Times"/>
          <w:noProof/>
          <w:szCs w:val="24"/>
        </w:rPr>
        <w:t xml:space="preserve">(101) Anatase Surface. </w:t>
      </w:r>
      <w:r w:rsidRPr="008A2060">
        <w:rPr>
          <w:rFonts w:cs="Times"/>
          <w:i/>
          <w:iCs/>
          <w:noProof/>
          <w:szCs w:val="24"/>
        </w:rPr>
        <w:t>J. Phys. Chem. C</w:t>
      </w:r>
      <w:r w:rsidRPr="008A2060">
        <w:rPr>
          <w:rFonts w:cs="Times"/>
          <w:noProof/>
          <w:szCs w:val="24"/>
        </w:rPr>
        <w:t xml:space="preserve"> </w:t>
      </w:r>
      <w:r w:rsidRPr="008A2060">
        <w:rPr>
          <w:rFonts w:cs="Times"/>
          <w:b/>
          <w:bCs/>
          <w:noProof/>
          <w:szCs w:val="24"/>
        </w:rPr>
        <w:t>2017</w:t>
      </w:r>
      <w:r w:rsidRPr="008A2060">
        <w:rPr>
          <w:rFonts w:cs="Times"/>
          <w:noProof/>
          <w:szCs w:val="24"/>
        </w:rPr>
        <w:t xml:space="preserve">, </w:t>
      </w:r>
      <w:r w:rsidRPr="008A2060">
        <w:rPr>
          <w:rFonts w:cs="Times"/>
          <w:i/>
          <w:iCs/>
          <w:noProof/>
          <w:szCs w:val="24"/>
        </w:rPr>
        <w:t>121</w:t>
      </w:r>
      <w:r w:rsidRPr="008A2060">
        <w:rPr>
          <w:rFonts w:cs="Times"/>
          <w:noProof/>
          <w:szCs w:val="24"/>
        </w:rPr>
        <w:t xml:space="preserve"> (26), 14156–14165.</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(26) </w:t>
      </w:r>
      <w:r w:rsidRPr="008A2060">
        <w:rPr>
          <w:rFonts w:cs="Times"/>
          <w:noProof/>
          <w:szCs w:val="24"/>
        </w:rPr>
        <w:tab/>
        <w:t>Brandt, E. G.; Lyubartsev, A. P. Molecular Dynamics Simulations of Adsorption of Amino Acid Side Chain Analogues and a Titanium Bin</w:t>
      </w:r>
      <w:r w:rsidR="00094815">
        <w:rPr>
          <w:rFonts w:cs="Times"/>
          <w:noProof/>
          <w:szCs w:val="24"/>
        </w:rPr>
        <w:t>ding Peptide on the TiO</w:t>
      </w:r>
      <w:r w:rsidRPr="008A2060">
        <w:rPr>
          <w:rFonts w:cs="Times"/>
          <w:noProof/>
          <w:szCs w:val="24"/>
          <w:vertAlign w:val="subscript"/>
        </w:rPr>
        <w:t>2</w:t>
      </w:r>
      <w:r w:rsidRPr="008A2060">
        <w:rPr>
          <w:rFonts w:cs="Times"/>
          <w:noProof/>
          <w:szCs w:val="24"/>
        </w:rPr>
        <w:t xml:space="preserve"> (100) Surface. </w:t>
      </w:r>
      <w:r w:rsidRPr="008A2060">
        <w:rPr>
          <w:rFonts w:cs="Times"/>
          <w:i/>
          <w:iCs/>
          <w:noProof/>
          <w:szCs w:val="24"/>
        </w:rPr>
        <w:t>J. Phys. Chem. C</w:t>
      </w:r>
      <w:r w:rsidRPr="008A2060">
        <w:rPr>
          <w:rFonts w:cs="Times"/>
          <w:noProof/>
          <w:szCs w:val="24"/>
        </w:rPr>
        <w:t xml:space="preserve"> </w:t>
      </w:r>
      <w:r w:rsidRPr="008A2060">
        <w:rPr>
          <w:rFonts w:cs="Times"/>
          <w:b/>
          <w:bCs/>
          <w:noProof/>
          <w:szCs w:val="24"/>
        </w:rPr>
        <w:t>2015</w:t>
      </w:r>
      <w:r w:rsidRPr="008A2060">
        <w:rPr>
          <w:rFonts w:cs="Times"/>
          <w:noProof/>
          <w:szCs w:val="24"/>
        </w:rPr>
        <w:t xml:space="preserve">, </w:t>
      </w:r>
      <w:r w:rsidRPr="008A2060">
        <w:rPr>
          <w:rFonts w:cs="Times"/>
          <w:i/>
          <w:iCs/>
          <w:noProof/>
          <w:szCs w:val="24"/>
        </w:rPr>
        <w:t>119</w:t>
      </w:r>
      <w:r w:rsidRPr="008A2060">
        <w:rPr>
          <w:rFonts w:cs="Times"/>
          <w:noProof/>
          <w:szCs w:val="24"/>
        </w:rPr>
        <w:t xml:space="preserve"> (32), 18126–18139.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(27) </w:t>
      </w:r>
      <w:r w:rsidRPr="008A2060">
        <w:rPr>
          <w:rFonts w:cs="Times"/>
          <w:noProof/>
          <w:szCs w:val="24"/>
        </w:rPr>
        <w:tab/>
        <w:t xml:space="preserve">Monti, S.; Walsh, T. R. Free Energy Calculations of the Adsorption of Amino Acid Analogues at the Aqueous Titania Interface. </w:t>
      </w:r>
      <w:r w:rsidRPr="008A2060">
        <w:rPr>
          <w:rFonts w:cs="Times"/>
          <w:i/>
          <w:iCs/>
          <w:noProof/>
          <w:szCs w:val="24"/>
        </w:rPr>
        <w:t>J. Phys. Chem. C</w:t>
      </w:r>
      <w:r w:rsidRPr="008A2060">
        <w:rPr>
          <w:rFonts w:cs="Times"/>
          <w:noProof/>
          <w:szCs w:val="24"/>
        </w:rPr>
        <w:t xml:space="preserve"> </w:t>
      </w:r>
      <w:r w:rsidRPr="008A2060">
        <w:rPr>
          <w:rFonts w:cs="Times"/>
          <w:b/>
          <w:bCs/>
          <w:noProof/>
          <w:szCs w:val="24"/>
        </w:rPr>
        <w:t>2010</w:t>
      </w:r>
      <w:r w:rsidR="00094815">
        <w:rPr>
          <w:rFonts w:cs="Times"/>
          <w:noProof/>
          <w:szCs w:val="24"/>
        </w:rPr>
        <w:t xml:space="preserve">, </w:t>
      </w:r>
      <w:r w:rsidR="00094815" w:rsidRPr="00094815">
        <w:rPr>
          <w:rFonts w:cs="Times"/>
          <w:i/>
          <w:noProof/>
          <w:szCs w:val="24"/>
        </w:rPr>
        <w:t>114</w:t>
      </w:r>
      <w:r w:rsidR="00094815">
        <w:rPr>
          <w:rFonts w:cs="Times"/>
          <w:noProof/>
          <w:szCs w:val="24"/>
        </w:rPr>
        <w:t xml:space="preserve"> (50), 22197</w:t>
      </w:r>
      <w:r w:rsidR="00094815" w:rsidRPr="008A2060">
        <w:rPr>
          <w:rFonts w:cs="Times"/>
          <w:noProof/>
          <w:szCs w:val="24"/>
        </w:rPr>
        <w:t>–</w:t>
      </w:r>
      <w:r w:rsidR="00094815">
        <w:rPr>
          <w:rFonts w:cs="Times"/>
          <w:noProof/>
          <w:szCs w:val="24"/>
        </w:rPr>
        <w:t>22206.</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(28) </w:t>
      </w:r>
      <w:r w:rsidRPr="008A2060">
        <w:rPr>
          <w:rFonts w:cs="Times"/>
          <w:noProof/>
          <w:szCs w:val="24"/>
        </w:rPr>
        <w:tab/>
        <w:t xml:space="preserve">Sultan, A. M.; Hughes, Z. E.; Walsh, T. R. Binding Affinities of Amino Acid Analogues at the Charged Aqueous Titania Interface: Implications for Titania-Binding Peptides. </w:t>
      </w:r>
      <w:r w:rsidRPr="008A2060">
        <w:rPr>
          <w:rFonts w:cs="Times"/>
          <w:i/>
          <w:iCs/>
          <w:noProof/>
          <w:szCs w:val="24"/>
        </w:rPr>
        <w:t>Langmuir</w:t>
      </w:r>
      <w:r w:rsidRPr="008A2060">
        <w:rPr>
          <w:rFonts w:cs="Times"/>
          <w:noProof/>
          <w:szCs w:val="24"/>
        </w:rPr>
        <w:t xml:space="preserve"> </w:t>
      </w:r>
      <w:r w:rsidRPr="008A2060">
        <w:rPr>
          <w:rFonts w:cs="Times"/>
          <w:b/>
          <w:bCs/>
          <w:noProof/>
          <w:szCs w:val="24"/>
        </w:rPr>
        <w:t>2014</w:t>
      </w:r>
      <w:r w:rsidR="00094815">
        <w:rPr>
          <w:rFonts w:cs="Times"/>
          <w:noProof/>
          <w:szCs w:val="24"/>
        </w:rPr>
        <w:t xml:space="preserve">, </w:t>
      </w:r>
      <w:r w:rsidR="00094815" w:rsidRPr="00094815">
        <w:rPr>
          <w:rFonts w:cs="Times"/>
          <w:i/>
          <w:noProof/>
          <w:szCs w:val="24"/>
        </w:rPr>
        <w:t>30</w:t>
      </w:r>
      <w:r w:rsidR="00094815">
        <w:rPr>
          <w:rFonts w:cs="Times"/>
          <w:noProof/>
          <w:szCs w:val="24"/>
        </w:rPr>
        <w:t>, 13321</w:t>
      </w:r>
      <w:r w:rsidR="00094815" w:rsidRPr="008A2060">
        <w:rPr>
          <w:rFonts w:cs="Times"/>
          <w:noProof/>
          <w:szCs w:val="24"/>
        </w:rPr>
        <w:t>–</w:t>
      </w:r>
      <w:r w:rsidR="00094815">
        <w:rPr>
          <w:rFonts w:cs="Times"/>
          <w:noProof/>
          <w:szCs w:val="24"/>
        </w:rPr>
        <w:t>13329.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(29) </w:t>
      </w:r>
      <w:r w:rsidRPr="008A2060">
        <w:rPr>
          <w:rFonts w:cs="Times"/>
          <w:noProof/>
          <w:szCs w:val="24"/>
        </w:rPr>
        <w:tab/>
        <w:t xml:space="preserve">Langel, W.; Menken, L. Simulation of the Interface between Titanium Oxide and Amino Acids in Solution by First Principles MD. </w:t>
      </w:r>
      <w:r w:rsidRPr="008A2060">
        <w:rPr>
          <w:rFonts w:cs="Times"/>
          <w:i/>
          <w:iCs/>
          <w:noProof/>
          <w:szCs w:val="24"/>
        </w:rPr>
        <w:t>Surf. Sci.</w:t>
      </w:r>
      <w:r w:rsidRPr="008A2060">
        <w:rPr>
          <w:rFonts w:cs="Times"/>
          <w:noProof/>
          <w:szCs w:val="24"/>
        </w:rPr>
        <w:t xml:space="preserve"> </w:t>
      </w:r>
      <w:r w:rsidRPr="008A2060">
        <w:rPr>
          <w:rFonts w:cs="Times"/>
          <w:b/>
          <w:bCs/>
          <w:noProof/>
          <w:szCs w:val="24"/>
        </w:rPr>
        <w:t>2003</w:t>
      </w:r>
      <w:r w:rsidRPr="008A2060">
        <w:rPr>
          <w:rFonts w:cs="Times"/>
          <w:noProof/>
          <w:szCs w:val="24"/>
        </w:rPr>
        <w:t xml:space="preserve">, </w:t>
      </w:r>
      <w:r w:rsidRPr="008A2060">
        <w:rPr>
          <w:rFonts w:cs="Times"/>
          <w:i/>
          <w:iCs/>
          <w:noProof/>
          <w:szCs w:val="24"/>
        </w:rPr>
        <w:t>538</w:t>
      </w:r>
      <w:r w:rsidRPr="008A2060">
        <w:rPr>
          <w:rFonts w:cs="Times"/>
          <w:noProof/>
          <w:szCs w:val="24"/>
        </w:rPr>
        <w:t xml:space="preserve"> (1–2), 1–9.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(30) </w:t>
      </w:r>
      <w:r w:rsidRPr="008A2060">
        <w:rPr>
          <w:rFonts w:cs="Times"/>
          <w:noProof/>
          <w:szCs w:val="24"/>
        </w:rPr>
        <w:tab/>
        <w:t>Liu, S.; Meng, X.-Y.; Perez-Aguilar, J. M.; Zhou, R. An In Silico Study of TiO</w:t>
      </w:r>
      <w:r w:rsidRPr="00094815">
        <w:rPr>
          <w:rFonts w:cs="Times"/>
          <w:noProof/>
          <w:szCs w:val="24"/>
          <w:vertAlign w:val="subscript"/>
        </w:rPr>
        <w:t>2</w:t>
      </w:r>
      <w:r w:rsidRPr="008A2060">
        <w:rPr>
          <w:rFonts w:cs="Times"/>
          <w:noProof/>
          <w:szCs w:val="24"/>
        </w:rPr>
        <w:t xml:space="preserve"> Nanoparticles Interaction with Twenty Standard Amino Acids in Aqueous Solution. </w:t>
      </w:r>
      <w:r w:rsidRPr="008A2060">
        <w:rPr>
          <w:rFonts w:cs="Times"/>
          <w:i/>
          <w:iCs/>
          <w:noProof/>
          <w:szCs w:val="24"/>
        </w:rPr>
        <w:t>Sci. Rep.</w:t>
      </w:r>
      <w:r w:rsidRPr="008A2060">
        <w:rPr>
          <w:rFonts w:cs="Times"/>
          <w:noProof/>
          <w:szCs w:val="24"/>
        </w:rPr>
        <w:t xml:space="preserve"> </w:t>
      </w:r>
      <w:r w:rsidRPr="008A2060">
        <w:rPr>
          <w:rFonts w:cs="Times"/>
          <w:b/>
          <w:bCs/>
          <w:noProof/>
          <w:szCs w:val="24"/>
        </w:rPr>
        <w:t>2016</w:t>
      </w:r>
      <w:r w:rsidRPr="008A2060">
        <w:rPr>
          <w:rFonts w:cs="Times"/>
          <w:noProof/>
          <w:szCs w:val="24"/>
        </w:rPr>
        <w:t xml:space="preserve">, </w:t>
      </w:r>
      <w:r w:rsidRPr="008A2060">
        <w:rPr>
          <w:rFonts w:cs="Times"/>
          <w:i/>
          <w:iCs/>
          <w:noProof/>
          <w:szCs w:val="24"/>
        </w:rPr>
        <w:t>6</w:t>
      </w:r>
      <w:r w:rsidRPr="008A2060">
        <w:rPr>
          <w:rFonts w:cs="Times"/>
          <w:noProof/>
          <w:szCs w:val="24"/>
        </w:rPr>
        <w:t xml:space="preserve"> (1), 37761.</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(31) </w:t>
      </w:r>
      <w:r w:rsidRPr="008A2060">
        <w:rPr>
          <w:rFonts w:cs="Times"/>
          <w:noProof/>
          <w:szCs w:val="24"/>
        </w:rPr>
        <w:tab/>
        <w:t xml:space="preserve">Heinrikson, R. L.; Meredith, S. C. Amino Acid Analysis by Reverse-Phase High-Performance Liquid Chromatography: Precolumn Derivatization with </w:t>
      </w:r>
      <w:r w:rsidRPr="008A2060">
        <w:rPr>
          <w:rFonts w:cs="Times"/>
          <w:noProof/>
          <w:szCs w:val="24"/>
        </w:rPr>
        <w:lastRenderedPageBreak/>
        <w:t xml:space="preserve">Phenylisothiocyanate. </w:t>
      </w:r>
      <w:r w:rsidRPr="008A2060">
        <w:rPr>
          <w:rFonts w:cs="Times"/>
          <w:i/>
          <w:iCs/>
          <w:noProof/>
          <w:szCs w:val="24"/>
        </w:rPr>
        <w:t>Anal. Biochem.</w:t>
      </w:r>
      <w:r w:rsidRPr="008A2060">
        <w:rPr>
          <w:rFonts w:cs="Times"/>
          <w:noProof/>
          <w:szCs w:val="24"/>
        </w:rPr>
        <w:t xml:space="preserve"> </w:t>
      </w:r>
      <w:r w:rsidRPr="008A2060">
        <w:rPr>
          <w:rFonts w:cs="Times"/>
          <w:b/>
          <w:bCs/>
          <w:noProof/>
          <w:szCs w:val="24"/>
        </w:rPr>
        <w:t>1984</w:t>
      </w:r>
      <w:r w:rsidRPr="008A2060">
        <w:rPr>
          <w:rFonts w:cs="Times"/>
          <w:noProof/>
          <w:szCs w:val="24"/>
        </w:rPr>
        <w:t xml:space="preserve">, </w:t>
      </w:r>
      <w:r w:rsidRPr="008A2060">
        <w:rPr>
          <w:rFonts w:cs="Times"/>
          <w:i/>
          <w:iCs/>
          <w:noProof/>
          <w:szCs w:val="24"/>
        </w:rPr>
        <w:t>136</w:t>
      </w:r>
      <w:r w:rsidRPr="008A2060">
        <w:rPr>
          <w:rFonts w:cs="Times"/>
          <w:noProof/>
          <w:szCs w:val="24"/>
        </w:rPr>
        <w:t xml:space="preserve"> (1), 65–74.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(32) </w:t>
      </w:r>
      <w:r w:rsidRPr="008A2060">
        <w:rPr>
          <w:rFonts w:cs="Times"/>
          <w:noProof/>
          <w:szCs w:val="24"/>
        </w:rPr>
        <w:tab/>
        <w:t>Grishina</w:t>
      </w:r>
      <w:r w:rsidR="00094815" w:rsidRPr="00094815">
        <w:rPr>
          <w:rFonts w:cs="Times"/>
          <w:noProof/>
          <w:szCs w:val="24"/>
        </w:rPr>
        <w:t xml:space="preserve"> </w:t>
      </w:r>
      <w:r w:rsidR="00094815" w:rsidRPr="008A2060">
        <w:rPr>
          <w:rFonts w:cs="Times"/>
          <w:noProof/>
          <w:szCs w:val="24"/>
        </w:rPr>
        <w:t>M.</w:t>
      </w:r>
      <w:r w:rsidR="00094815">
        <w:rPr>
          <w:rFonts w:cs="Times"/>
          <w:noProof/>
          <w:szCs w:val="24"/>
        </w:rPr>
        <w:t xml:space="preserve"> </w:t>
      </w:r>
      <w:r w:rsidR="00094815" w:rsidRPr="008A2060">
        <w:rPr>
          <w:rFonts w:cs="Times"/>
          <w:noProof/>
          <w:szCs w:val="24"/>
        </w:rPr>
        <w:t>A.</w:t>
      </w:r>
      <w:r w:rsidRPr="008A2060">
        <w:rPr>
          <w:rFonts w:cs="Times"/>
          <w:noProof/>
          <w:szCs w:val="24"/>
        </w:rPr>
        <w:t>; Bartashevich, E. V; Potemkin, V. A.; Belik, A. V. G</w:t>
      </w:r>
      <w:r w:rsidR="00094815" w:rsidRPr="008A2060">
        <w:rPr>
          <w:rFonts w:cs="Times"/>
          <w:noProof/>
          <w:szCs w:val="24"/>
        </w:rPr>
        <w:t>enetic</w:t>
      </w:r>
      <w:r w:rsidRPr="008A2060">
        <w:rPr>
          <w:rFonts w:cs="Times"/>
          <w:noProof/>
          <w:szCs w:val="24"/>
        </w:rPr>
        <w:t xml:space="preserve"> A</w:t>
      </w:r>
      <w:r w:rsidR="00094815" w:rsidRPr="008A2060">
        <w:rPr>
          <w:rFonts w:cs="Times"/>
          <w:noProof/>
          <w:szCs w:val="24"/>
        </w:rPr>
        <w:t>lgorithm</w:t>
      </w:r>
      <w:r w:rsidRPr="008A2060">
        <w:rPr>
          <w:rFonts w:cs="Times"/>
          <w:noProof/>
          <w:szCs w:val="24"/>
        </w:rPr>
        <w:t xml:space="preserve"> </w:t>
      </w:r>
      <w:r w:rsidR="00094815" w:rsidRPr="008A2060">
        <w:rPr>
          <w:rFonts w:cs="Times"/>
          <w:noProof/>
          <w:szCs w:val="24"/>
        </w:rPr>
        <w:t>for</w:t>
      </w:r>
      <w:r w:rsidRPr="008A2060">
        <w:rPr>
          <w:rFonts w:cs="Times"/>
          <w:noProof/>
          <w:szCs w:val="24"/>
        </w:rPr>
        <w:t xml:space="preserve"> P</w:t>
      </w:r>
      <w:r w:rsidR="00094815" w:rsidRPr="008A2060">
        <w:rPr>
          <w:rFonts w:cs="Times"/>
          <w:noProof/>
          <w:szCs w:val="24"/>
        </w:rPr>
        <w:t>redicting</w:t>
      </w:r>
      <w:r w:rsidRPr="008A2060">
        <w:rPr>
          <w:rFonts w:cs="Times"/>
          <w:noProof/>
          <w:szCs w:val="24"/>
        </w:rPr>
        <w:t xml:space="preserve"> S</w:t>
      </w:r>
      <w:r w:rsidR="00094815" w:rsidRPr="008A2060">
        <w:rPr>
          <w:rFonts w:cs="Times"/>
          <w:noProof/>
          <w:szCs w:val="24"/>
        </w:rPr>
        <w:t>tructures</w:t>
      </w:r>
      <w:r w:rsidRPr="008A2060">
        <w:rPr>
          <w:rFonts w:cs="Times"/>
          <w:noProof/>
          <w:szCs w:val="24"/>
        </w:rPr>
        <w:t xml:space="preserve"> </w:t>
      </w:r>
      <w:r w:rsidR="00094815" w:rsidRPr="008A2060">
        <w:rPr>
          <w:rFonts w:cs="Times"/>
          <w:noProof/>
          <w:szCs w:val="24"/>
        </w:rPr>
        <w:t>and</w:t>
      </w:r>
      <w:r w:rsidRPr="008A2060">
        <w:rPr>
          <w:rFonts w:cs="Times"/>
          <w:noProof/>
          <w:szCs w:val="24"/>
        </w:rPr>
        <w:t xml:space="preserve"> P</w:t>
      </w:r>
      <w:r w:rsidR="00094815" w:rsidRPr="008A2060">
        <w:rPr>
          <w:rFonts w:cs="Times"/>
          <w:noProof/>
          <w:szCs w:val="24"/>
        </w:rPr>
        <w:t>roperties</w:t>
      </w:r>
      <w:r w:rsidRPr="008A2060">
        <w:rPr>
          <w:rFonts w:cs="Times"/>
          <w:noProof/>
          <w:szCs w:val="24"/>
        </w:rPr>
        <w:t xml:space="preserve"> </w:t>
      </w:r>
      <w:r w:rsidR="00094815" w:rsidRPr="008A2060">
        <w:rPr>
          <w:rFonts w:cs="Times"/>
          <w:noProof/>
          <w:szCs w:val="24"/>
        </w:rPr>
        <w:t>of</w:t>
      </w:r>
      <w:r w:rsidRPr="008A2060">
        <w:rPr>
          <w:rFonts w:cs="Times"/>
          <w:noProof/>
          <w:szCs w:val="24"/>
        </w:rPr>
        <w:t xml:space="preserve"> M</w:t>
      </w:r>
      <w:r w:rsidR="00094815" w:rsidRPr="008A2060">
        <w:rPr>
          <w:rFonts w:cs="Times"/>
          <w:noProof/>
          <w:szCs w:val="24"/>
        </w:rPr>
        <w:t>olecular</w:t>
      </w:r>
      <w:r w:rsidRPr="008A2060">
        <w:rPr>
          <w:rFonts w:cs="Times"/>
          <w:noProof/>
          <w:szCs w:val="24"/>
        </w:rPr>
        <w:t xml:space="preserve"> A</w:t>
      </w:r>
      <w:r w:rsidR="00094815" w:rsidRPr="008A2060">
        <w:rPr>
          <w:rFonts w:cs="Times"/>
          <w:noProof/>
          <w:szCs w:val="24"/>
        </w:rPr>
        <w:t>ggregates</w:t>
      </w:r>
      <w:r w:rsidRPr="008A2060">
        <w:rPr>
          <w:rFonts w:cs="Times"/>
          <w:noProof/>
          <w:szCs w:val="24"/>
        </w:rPr>
        <w:t xml:space="preserve"> </w:t>
      </w:r>
      <w:r w:rsidR="00094815" w:rsidRPr="008A2060">
        <w:rPr>
          <w:rFonts w:cs="Times"/>
          <w:noProof/>
          <w:szCs w:val="24"/>
        </w:rPr>
        <w:t>in</w:t>
      </w:r>
      <w:r w:rsidRPr="008A2060">
        <w:rPr>
          <w:rFonts w:cs="Times"/>
          <w:noProof/>
          <w:szCs w:val="24"/>
        </w:rPr>
        <w:t xml:space="preserve"> O</w:t>
      </w:r>
      <w:r w:rsidR="00094815" w:rsidRPr="008A2060">
        <w:rPr>
          <w:rFonts w:cs="Times"/>
          <w:noProof/>
          <w:szCs w:val="24"/>
        </w:rPr>
        <w:t>rganic</w:t>
      </w:r>
      <w:r w:rsidRPr="008A2060">
        <w:rPr>
          <w:rFonts w:cs="Times"/>
          <w:noProof/>
          <w:szCs w:val="24"/>
        </w:rPr>
        <w:t xml:space="preserve"> S</w:t>
      </w:r>
      <w:r w:rsidR="00094815" w:rsidRPr="008A2060">
        <w:rPr>
          <w:rFonts w:cs="Times"/>
          <w:noProof/>
          <w:szCs w:val="24"/>
        </w:rPr>
        <w:t>ubstances</w:t>
      </w:r>
      <w:r w:rsidRPr="008A2060">
        <w:rPr>
          <w:rFonts w:cs="Times"/>
          <w:noProof/>
          <w:szCs w:val="24"/>
        </w:rPr>
        <w:t xml:space="preserve">. </w:t>
      </w:r>
      <w:r w:rsidRPr="008A2060">
        <w:rPr>
          <w:rFonts w:cs="Times"/>
          <w:i/>
          <w:iCs/>
          <w:noProof/>
          <w:szCs w:val="24"/>
        </w:rPr>
        <w:t>J. Struct. Chem.</w:t>
      </w:r>
      <w:r w:rsidRPr="008A2060">
        <w:rPr>
          <w:rFonts w:cs="Times"/>
          <w:noProof/>
          <w:szCs w:val="24"/>
        </w:rPr>
        <w:t xml:space="preserve"> </w:t>
      </w:r>
      <w:r w:rsidRPr="008A2060">
        <w:rPr>
          <w:rFonts w:cs="Times"/>
          <w:b/>
          <w:bCs/>
          <w:noProof/>
          <w:szCs w:val="24"/>
        </w:rPr>
        <w:t>2002</w:t>
      </w:r>
      <w:r w:rsidRPr="008A2060">
        <w:rPr>
          <w:rFonts w:cs="Times"/>
          <w:noProof/>
          <w:szCs w:val="24"/>
        </w:rPr>
        <w:t xml:space="preserve">, </w:t>
      </w:r>
      <w:r w:rsidRPr="008A2060">
        <w:rPr>
          <w:rFonts w:cs="Times"/>
          <w:i/>
          <w:iCs/>
          <w:noProof/>
          <w:szCs w:val="24"/>
        </w:rPr>
        <w:t>43</w:t>
      </w:r>
      <w:r w:rsidRPr="008A2060">
        <w:rPr>
          <w:rFonts w:cs="Times"/>
          <w:noProof/>
          <w:szCs w:val="24"/>
        </w:rPr>
        <w:t xml:space="preserve"> (6), 1040–1044.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(33) </w:t>
      </w:r>
      <w:r w:rsidRPr="008A2060">
        <w:rPr>
          <w:rFonts w:cs="Times"/>
          <w:noProof/>
          <w:szCs w:val="24"/>
        </w:rPr>
        <w:tab/>
        <w:t>Bartashevich, E. V.; Potemkin, V. A.; Grishina, M. A.; Belik, A. V. A M</w:t>
      </w:r>
      <w:r w:rsidR="00094815" w:rsidRPr="008A2060">
        <w:rPr>
          <w:rFonts w:cs="Times"/>
          <w:noProof/>
          <w:szCs w:val="24"/>
        </w:rPr>
        <w:t>ethod for</w:t>
      </w:r>
      <w:r w:rsidRPr="008A2060">
        <w:rPr>
          <w:rFonts w:cs="Times"/>
          <w:noProof/>
          <w:szCs w:val="24"/>
        </w:rPr>
        <w:t xml:space="preserve"> M</w:t>
      </w:r>
      <w:r w:rsidR="00094815" w:rsidRPr="008A2060">
        <w:rPr>
          <w:rFonts w:cs="Times"/>
          <w:noProof/>
          <w:szCs w:val="24"/>
        </w:rPr>
        <w:t>ulticonformational</w:t>
      </w:r>
      <w:r w:rsidRPr="008A2060">
        <w:rPr>
          <w:rFonts w:cs="Times"/>
          <w:noProof/>
          <w:szCs w:val="24"/>
        </w:rPr>
        <w:t xml:space="preserve"> M</w:t>
      </w:r>
      <w:r w:rsidR="00094815" w:rsidRPr="008A2060">
        <w:rPr>
          <w:rFonts w:cs="Times"/>
          <w:noProof/>
          <w:szCs w:val="24"/>
        </w:rPr>
        <w:t>odeling of the</w:t>
      </w:r>
      <w:r w:rsidRPr="008A2060">
        <w:rPr>
          <w:rFonts w:cs="Times"/>
          <w:noProof/>
          <w:szCs w:val="24"/>
        </w:rPr>
        <w:t xml:space="preserve"> T</w:t>
      </w:r>
      <w:r w:rsidR="00094815" w:rsidRPr="008A2060">
        <w:rPr>
          <w:rFonts w:cs="Times"/>
          <w:noProof/>
          <w:szCs w:val="24"/>
        </w:rPr>
        <w:t>hree-dimensional</w:t>
      </w:r>
      <w:r w:rsidRPr="008A2060">
        <w:rPr>
          <w:rFonts w:cs="Times"/>
          <w:noProof/>
          <w:szCs w:val="24"/>
        </w:rPr>
        <w:t xml:space="preserve"> S</w:t>
      </w:r>
      <w:r w:rsidR="00094815" w:rsidRPr="008A2060">
        <w:rPr>
          <w:rFonts w:cs="Times"/>
          <w:noProof/>
          <w:szCs w:val="24"/>
        </w:rPr>
        <w:t xml:space="preserve">hape of a </w:t>
      </w:r>
      <w:r w:rsidRPr="008A2060">
        <w:rPr>
          <w:rFonts w:cs="Times"/>
          <w:noProof/>
          <w:szCs w:val="24"/>
        </w:rPr>
        <w:t>M</w:t>
      </w:r>
      <w:r w:rsidR="00094815" w:rsidRPr="008A2060">
        <w:rPr>
          <w:rFonts w:cs="Times"/>
          <w:noProof/>
          <w:szCs w:val="24"/>
        </w:rPr>
        <w:t>olecule</w:t>
      </w:r>
      <w:r w:rsidRPr="008A2060">
        <w:rPr>
          <w:rFonts w:cs="Times"/>
          <w:noProof/>
          <w:szCs w:val="24"/>
        </w:rPr>
        <w:t xml:space="preserve">. </w:t>
      </w:r>
      <w:r w:rsidRPr="008A2060">
        <w:rPr>
          <w:rFonts w:cs="Times"/>
          <w:i/>
          <w:iCs/>
          <w:noProof/>
          <w:szCs w:val="24"/>
        </w:rPr>
        <w:t>J. Struct. Chem.</w:t>
      </w:r>
      <w:r w:rsidRPr="008A2060">
        <w:rPr>
          <w:rFonts w:cs="Times"/>
          <w:noProof/>
          <w:szCs w:val="24"/>
        </w:rPr>
        <w:t xml:space="preserve"> </w:t>
      </w:r>
      <w:r w:rsidRPr="008A2060">
        <w:rPr>
          <w:rFonts w:cs="Times"/>
          <w:b/>
          <w:bCs/>
          <w:noProof/>
          <w:szCs w:val="24"/>
        </w:rPr>
        <w:t>2002</w:t>
      </w:r>
      <w:r w:rsidRPr="008A2060">
        <w:rPr>
          <w:rFonts w:cs="Times"/>
          <w:noProof/>
          <w:szCs w:val="24"/>
        </w:rPr>
        <w:t xml:space="preserve">, </w:t>
      </w:r>
      <w:r w:rsidRPr="008A2060">
        <w:rPr>
          <w:rFonts w:cs="Times"/>
          <w:i/>
          <w:iCs/>
          <w:noProof/>
          <w:szCs w:val="24"/>
        </w:rPr>
        <w:t>43</w:t>
      </w:r>
      <w:r w:rsidRPr="008A2060">
        <w:rPr>
          <w:rFonts w:cs="Times"/>
          <w:noProof/>
          <w:szCs w:val="24"/>
        </w:rPr>
        <w:t xml:space="preserve"> (6), 1033–1039.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(34) </w:t>
      </w:r>
      <w:r w:rsidRPr="008A2060">
        <w:rPr>
          <w:rFonts w:cs="Times"/>
          <w:noProof/>
          <w:szCs w:val="24"/>
        </w:rPr>
        <w:tab/>
        <w:t xml:space="preserve">Praveen, P.; Viruthagiri, G.; Mugundan, S.; Shanmugam, N. Sol-Gel Synthesis and Characterization </w:t>
      </w:r>
      <w:r w:rsidR="00094815">
        <w:rPr>
          <w:rFonts w:cs="Times"/>
          <w:noProof/>
          <w:szCs w:val="24"/>
        </w:rPr>
        <w:t xml:space="preserve">of Pure and </w:t>
      </w:r>
      <w:r w:rsidR="00094815" w:rsidRPr="00400A92">
        <w:rPr>
          <w:rFonts w:cs="Times"/>
          <w:noProof/>
          <w:szCs w:val="24"/>
        </w:rPr>
        <w:t>Manganese Doped</w:t>
      </w:r>
      <w:r w:rsidR="00094815">
        <w:rPr>
          <w:rFonts w:cs="Times"/>
          <w:noProof/>
          <w:szCs w:val="24"/>
        </w:rPr>
        <w:t xml:space="preserve"> TiO</w:t>
      </w:r>
      <w:r w:rsidRPr="00094815">
        <w:rPr>
          <w:rFonts w:cs="Times"/>
          <w:noProof/>
          <w:szCs w:val="24"/>
          <w:vertAlign w:val="subscript"/>
        </w:rPr>
        <w:t>2</w:t>
      </w:r>
      <w:r w:rsidRPr="008A2060">
        <w:rPr>
          <w:rFonts w:cs="Times"/>
          <w:noProof/>
          <w:szCs w:val="24"/>
        </w:rPr>
        <w:t xml:space="preserve"> Nanoparticles - A New NLO Active Material. </w:t>
      </w:r>
      <w:r w:rsidRPr="008A2060">
        <w:rPr>
          <w:rFonts w:cs="Times"/>
          <w:i/>
          <w:iCs/>
          <w:noProof/>
          <w:szCs w:val="24"/>
        </w:rPr>
        <w:t>Spectrochim. Acta - Part A Mol. Biomol. Spectrosc.</w:t>
      </w:r>
      <w:r w:rsidRPr="008A2060">
        <w:rPr>
          <w:rFonts w:cs="Times"/>
          <w:noProof/>
          <w:szCs w:val="24"/>
        </w:rPr>
        <w:t xml:space="preserve"> </w:t>
      </w:r>
      <w:r w:rsidRPr="008A2060">
        <w:rPr>
          <w:rFonts w:cs="Times"/>
          <w:b/>
          <w:bCs/>
          <w:noProof/>
          <w:szCs w:val="24"/>
        </w:rPr>
        <w:t>2014</w:t>
      </w:r>
      <w:r w:rsidRPr="008A2060">
        <w:rPr>
          <w:rFonts w:cs="Times"/>
          <w:noProof/>
          <w:szCs w:val="24"/>
        </w:rPr>
        <w:t xml:space="preserve">, </w:t>
      </w:r>
      <w:r w:rsidRPr="008A2060">
        <w:rPr>
          <w:rFonts w:cs="Times"/>
          <w:i/>
          <w:iCs/>
          <w:noProof/>
          <w:szCs w:val="24"/>
        </w:rPr>
        <w:t>120</w:t>
      </w:r>
      <w:r w:rsidRPr="008A2060">
        <w:rPr>
          <w:rFonts w:cs="Times"/>
          <w:noProof/>
          <w:szCs w:val="24"/>
        </w:rPr>
        <w:t>, 548–557.</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(35) </w:t>
      </w:r>
      <w:r w:rsidRPr="008A2060">
        <w:rPr>
          <w:rFonts w:cs="Times"/>
          <w:noProof/>
          <w:szCs w:val="24"/>
        </w:rPr>
        <w:tab/>
        <w:t xml:space="preserve">Kandegedara, A.; </w:t>
      </w:r>
      <w:r w:rsidRPr="00400A92">
        <w:rPr>
          <w:rFonts w:cs="Times"/>
          <w:noProof/>
          <w:szCs w:val="24"/>
        </w:rPr>
        <w:t>Rorabacher</w:t>
      </w:r>
      <w:r w:rsidRPr="008A2060">
        <w:rPr>
          <w:rFonts w:cs="Times"/>
          <w:noProof/>
          <w:szCs w:val="24"/>
        </w:rPr>
        <w:t xml:space="preserve">, D. B. Noncomplexing Tertiary Amines as “better” Buffers Covering the Range of PH 3-11. Temperature Dependence of Their Acid Dissociation Constants. </w:t>
      </w:r>
      <w:r w:rsidRPr="008A2060">
        <w:rPr>
          <w:rFonts w:cs="Times"/>
          <w:i/>
          <w:iCs/>
          <w:noProof/>
          <w:szCs w:val="24"/>
        </w:rPr>
        <w:t>Anal. Chem.</w:t>
      </w:r>
      <w:r w:rsidRPr="008A2060">
        <w:rPr>
          <w:rFonts w:cs="Times"/>
          <w:noProof/>
          <w:szCs w:val="24"/>
        </w:rPr>
        <w:t xml:space="preserve"> </w:t>
      </w:r>
      <w:r w:rsidRPr="008A2060">
        <w:rPr>
          <w:rFonts w:cs="Times"/>
          <w:b/>
          <w:bCs/>
          <w:noProof/>
          <w:szCs w:val="24"/>
        </w:rPr>
        <w:t>1999</w:t>
      </w:r>
      <w:r w:rsidRPr="008A2060">
        <w:rPr>
          <w:rFonts w:cs="Times"/>
          <w:noProof/>
          <w:szCs w:val="24"/>
        </w:rPr>
        <w:t xml:space="preserve">, </w:t>
      </w:r>
      <w:r w:rsidRPr="008A2060">
        <w:rPr>
          <w:rFonts w:cs="Times"/>
          <w:i/>
          <w:iCs/>
          <w:noProof/>
          <w:szCs w:val="24"/>
        </w:rPr>
        <w:t>71</w:t>
      </w:r>
      <w:r w:rsidRPr="008A2060">
        <w:rPr>
          <w:rFonts w:cs="Times"/>
          <w:noProof/>
          <w:szCs w:val="24"/>
        </w:rPr>
        <w:t xml:space="preserve"> (15), 3140–3144.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(36) </w:t>
      </w:r>
      <w:r w:rsidRPr="008A2060">
        <w:rPr>
          <w:rFonts w:cs="Times"/>
          <w:noProof/>
          <w:szCs w:val="24"/>
        </w:rPr>
        <w:tab/>
        <w:t xml:space="preserve">Butt, H.-J.; Graf, K.; Kappl, M. </w:t>
      </w:r>
      <w:r w:rsidRPr="008A2060">
        <w:rPr>
          <w:rFonts w:cs="Times"/>
          <w:i/>
          <w:iCs/>
          <w:noProof/>
          <w:szCs w:val="24"/>
        </w:rPr>
        <w:t>Physics and Chemistry of Interfaces</w:t>
      </w:r>
      <w:r w:rsidRPr="008A2060">
        <w:rPr>
          <w:rFonts w:cs="Times"/>
          <w:noProof/>
          <w:szCs w:val="24"/>
        </w:rPr>
        <w:t xml:space="preserve">; </w:t>
      </w:r>
      <w:r w:rsidRPr="00094815">
        <w:rPr>
          <w:rFonts w:cs="Times"/>
          <w:b/>
          <w:noProof/>
          <w:szCs w:val="24"/>
        </w:rPr>
        <w:t>2003</w:t>
      </w:r>
      <w:r w:rsidRPr="008A2060">
        <w:rPr>
          <w:rFonts w:cs="Times"/>
          <w:noProof/>
          <w:szCs w:val="24"/>
        </w:rPr>
        <w:t>.</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(37) </w:t>
      </w:r>
      <w:r w:rsidRPr="008A2060">
        <w:rPr>
          <w:rFonts w:cs="Times"/>
          <w:noProof/>
          <w:szCs w:val="24"/>
        </w:rPr>
        <w:tab/>
        <w:t xml:space="preserve">Brunauer, S.; Deming, L. S.; Deming, W. E.; Teller, E. On a Theory of the van Der Waals Adsorption of Gases. </w:t>
      </w:r>
      <w:r w:rsidRPr="008A2060">
        <w:rPr>
          <w:rFonts w:cs="Times"/>
          <w:i/>
          <w:iCs/>
          <w:noProof/>
          <w:szCs w:val="24"/>
        </w:rPr>
        <w:t>J. Am. Chem. Soc.</w:t>
      </w:r>
      <w:r w:rsidRPr="008A2060">
        <w:rPr>
          <w:rFonts w:cs="Times"/>
          <w:noProof/>
          <w:szCs w:val="24"/>
        </w:rPr>
        <w:t xml:space="preserve"> </w:t>
      </w:r>
      <w:r w:rsidRPr="008A2060">
        <w:rPr>
          <w:rFonts w:cs="Times"/>
          <w:b/>
          <w:bCs/>
          <w:noProof/>
          <w:szCs w:val="24"/>
        </w:rPr>
        <w:t>1940</w:t>
      </w:r>
      <w:r w:rsidRPr="008A2060">
        <w:rPr>
          <w:rFonts w:cs="Times"/>
          <w:noProof/>
          <w:szCs w:val="24"/>
        </w:rPr>
        <w:t xml:space="preserve">, </w:t>
      </w:r>
      <w:r w:rsidRPr="008A2060">
        <w:rPr>
          <w:rFonts w:cs="Times"/>
          <w:i/>
          <w:iCs/>
          <w:noProof/>
          <w:szCs w:val="24"/>
        </w:rPr>
        <w:t>62</w:t>
      </w:r>
      <w:r w:rsidRPr="008A2060">
        <w:rPr>
          <w:rFonts w:cs="Times"/>
          <w:noProof/>
          <w:szCs w:val="24"/>
        </w:rPr>
        <w:t xml:space="preserve"> (7), 1723–1732.</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(38) </w:t>
      </w:r>
      <w:r w:rsidRPr="008A2060">
        <w:rPr>
          <w:rFonts w:cs="Times"/>
          <w:noProof/>
          <w:szCs w:val="24"/>
        </w:rPr>
        <w:tab/>
        <w:t>Yalkowsky</w:t>
      </w:r>
      <w:r w:rsidR="00094815" w:rsidRPr="00094815">
        <w:rPr>
          <w:rFonts w:cs="Times"/>
          <w:noProof/>
          <w:szCs w:val="24"/>
        </w:rPr>
        <w:t xml:space="preserve"> </w:t>
      </w:r>
      <w:r w:rsidR="00094815" w:rsidRPr="008A2060">
        <w:rPr>
          <w:rFonts w:cs="Times"/>
          <w:noProof/>
          <w:szCs w:val="24"/>
        </w:rPr>
        <w:t>S. H.</w:t>
      </w:r>
      <w:r w:rsidR="00094815">
        <w:rPr>
          <w:rFonts w:cs="Times"/>
          <w:noProof/>
          <w:szCs w:val="24"/>
        </w:rPr>
        <w:t>;</w:t>
      </w:r>
      <w:r w:rsidRPr="008A2060">
        <w:rPr>
          <w:rFonts w:cs="Times"/>
          <w:noProof/>
          <w:szCs w:val="24"/>
        </w:rPr>
        <w:t xml:space="preserve"> He, </w:t>
      </w:r>
      <w:r w:rsidR="00094815" w:rsidRPr="008A2060">
        <w:rPr>
          <w:rFonts w:cs="Times"/>
          <w:noProof/>
          <w:szCs w:val="24"/>
        </w:rPr>
        <w:t>Y.</w:t>
      </w:r>
      <w:r w:rsidR="0064433F">
        <w:rPr>
          <w:rFonts w:cs="Times"/>
          <w:noProof/>
          <w:szCs w:val="24"/>
        </w:rPr>
        <w:t>;</w:t>
      </w:r>
      <w:r w:rsidR="00094815" w:rsidRPr="008A2060">
        <w:rPr>
          <w:rFonts w:cs="Times"/>
          <w:noProof/>
          <w:szCs w:val="24"/>
        </w:rPr>
        <w:t xml:space="preserve"> </w:t>
      </w:r>
      <w:r w:rsidRPr="008A2060">
        <w:rPr>
          <w:rFonts w:cs="Times"/>
          <w:noProof/>
          <w:szCs w:val="24"/>
        </w:rPr>
        <w:t>J</w:t>
      </w:r>
      <w:r w:rsidR="0064433F">
        <w:rPr>
          <w:rFonts w:cs="Times"/>
          <w:noProof/>
          <w:szCs w:val="24"/>
        </w:rPr>
        <w:t>ain</w:t>
      </w:r>
      <w:r w:rsidRPr="008A2060">
        <w:rPr>
          <w:rFonts w:cs="Times"/>
          <w:noProof/>
          <w:szCs w:val="24"/>
        </w:rPr>
        <w:t xml:space="preserve"> </w:t>
      </w:r>
      <w:r w:rsidR="0064433F" w:rsidRPr="008A2060">
        <w:rPr>
          <w:rFonts w:cs="Times"/>
          <w:noProof/>
          <w:szCs w:val="24"/>
        </w:rPr>
        <w:t xml:space="preserve">P. </w:t>
      </w:r>
      <w:r w:rsidRPr="008A2060">
        <w:rPr>
          <w:rFonts w:cs="Times"/>
          <w:i/>
          <w:iCs/>
          <w:noProof/>
          <w:szCs w:val="24"/>
        </w:rPr>
        <w:t>Handbook of Aqueous Solutions Data</w:t>
      </w:r>
      <w:r w:rsidRPr="008A2060">
        <w:rPr>
          <w:rFonts w:cs="Times"/>
          <w:noProof/>
          <w:szCs w:val="24"/>
        </w:rPr>
        <w:t xml:space="preserve">, Second.; CRC Press Taylor &amp; Francis Group: USA, </w:t>
      </w:r>
      <w:r w:rsidRPr="00094815">
        <w:rPr>
          <w:rFonts w:cs="Times"/>
          <w:b/>
          <w:noProof/>
          <w:szCs w:val="24"/>
        </w:rPr>
        <w:t>2010</w:t>
      </w:r>
      <w:r w:rsidRPr="008A2060">
        <w:rPr>
          <w:rFonts w:cs="Times"/>
          <w:noProof/>
          <w:szCs w:val="24"/>
        </w:rPr>
        <w:t>.</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(39) </w:t>
      </w:r>
      <w:r w:rsidRPr="008A2060">
        <w:rPr>
          <w:rFonts w:cs="Times"/>
          <w:noProof/>
          <w:szCs w:val="24"/>
        </w:rPr>
        <w:tab/>
        <w:t>Dalton</w:t>
      </w:r>
      <w:r w:rsidR="0064433F" w:rsidRPr="0064433F">
        <w:rPr>
          <w:rFonts w:cs="Times"/>
          <w:noProof/>
          <w:szCs w:val="24"/>
        </w:rPr>
        <w:t xml:space="preserve"> </w:t>
      </w:r>
      <w:r w:rsidR="0064433F" w:rsidRPr="008A2060">
        <w:rPr>
          <w:rFonts w:cs="Times"/>
          <w:noProof/>
          <w:szCs w:val="24"/>
        </w:rPr>
        <w:t>J. B.</w:t>
      </w:r>
      <w:r w:rsidR="0064433F">
        <w:rPr>
          <w:rFonts w:cs="Times"/>
          <w:noProof/>
          <w:szCs w:val="24"/>
        </w:rPr>
        <w:t>; Schmidt, C. L. A.</w:t>
      </w:r>
      <w:r w:rsidRPr="008A2060">
        <w:rPr>
          <w:rFonts w:cs="Times"/>
          <w:noProof/>
          <w:szCs w:val="24"/>
        </w:rPr>
        <w:t xml:space="preserve"> Solubilities of Amino Acids. </w:t>
      </w:r>
      <w:r w:rsidRPr="008A2060">
        <w:rPr>
          <w:rFonts w:cs="Times"/>
          <w:i/>
          <w:iCs/>
          <w:noProof/>
          <w:szCs w:val="24"/>
        </w:rPr>
        <w:t>J. Biol. Chem.</w:t>
      </w:r>
      <w:r w:rsidRPr="008A2060">
        <w:rPr>
          <w:rFonts w:cs="Times"/>
          <w:noProof/>
          <w:szCs w:val="24"/>
        </w:rPr>
        <w:t xml:space="preserve"> </w:t>
      </w:r>
      <w:r w:rsidRPr="008A2060">
        <w:rPr>
          <w:rFonts w:cs="Times"/>
          <w:b/>
          <w:bCs/>
          <w:noProof/>
          <w:szCs w:val="24"/>
        </w:rPr>
        <w:t>1935</w:t>
      </w:r>
      <w:r w:rsidRPr="008A2060">
        <w:rPr>
          <w:rFonts w:cs="Times"/>
          <w:noProof/>
          <w:szCs w:val="24"/>
        </w:rPr>
        <w:t xml:space="preserve">, </w:t>
      </w:r>
      <w:r w:rsidRPr="008A2060">
        <w:rPr>
          <w:rFonts w:cs="Times"/>
          <w:i/>
          <w:iCs/>
          <w:noProof/>
          <w:szCs w:val="24"/>
        </w:rPr>
        <w:t>109</w:t>
      </w:r>
      <w:r w:rsidRPr="008A2060">
        <w:rPr>
          <w:rFonts w:cs="Times"/>
          <w:noProof/>
          <w:szCs w:val="24"/>
        </w:rPr>
        <w:t>, 241–248.</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lastRenderedPageBreak/>
        <w:t xml:space="preserve">(40) </w:t>
      </w:r>
      <w:r w:rsidRPr="008A2060">
        <w:rPr>
          <w:rFonts w:cs="Times"/>
          <w:noProof/>
          <w:szCs w:val="24"/>
        </w:rPr>
        <w:tab/>
        <w:t xml:space="preserve">Hayashi, K.; Matsuda, T.; </w:t>
      </w:r>
      <w:r w:rsidRPr="00400A92">
        <w:rPr>
          <w:rFonts w:cs="Times"/>
          <w:noProof/>
          <w:szCs w:val="24"/>
        </w:rPr>
        <w:t>Takeyama</w:t>
      </w:r>
      <w:r w:rsidRPr="008A2060">
        <w:rPr>
          <w:rFonts w:cs="Times"/>
          <w:noProof/>
          <w:szCs w:val="24"/>
        </w:rPr>
        <w:t xml:space="preserve">, T.; Hino, T. Solubilities Studies of Basic Amino Acids. </w:t>
      </w:r>
      <w:r w:rsidRPr="008A2060">
        <w:rPr>
          <w:rFonts w:cs="Times"/>
          <w:i/>
          <w:iCs/>
          <w:noProof/>
          <w:szCs w:val="24"/>
        </w:rPr>
        <w:t>Agric. Biol. Chem.</w:t>
      </w:r>
      <w:r w:rsidRPr="008A2060">
        <w:rPr>
          <w:rFonts w:cs="Times"/>
          <w:noProof/>
          <w:szCs w:val="24"/>
        </w:rPr>
        <w:t xml:space="preserve"> </w:t>
      </w:r>
      <w:r w:rsidRPr="008A2060">
        <w:rPr>
          <w:rFonts w:cs="Times"/>
          <w:b/>
          <w:bCs/>
          <w:noProof/>
          <w:szCs w:val="24"/>
        </w:rPr>
        <w:t>1966</w:t>
      </w:r>
      <w:r w:rsidRPr="008A2060">
        <w:rPr>
          <w:rFonts w:cs="Times"/>
          <w:noProof/>
          <w:szCs w:val="24"/>
        </w:rPr>
        <w:t xml:space="preserve">, </w:t>
      </w:r>
      <w:r w:rsidRPr="008A2060">
        <w:rPr>
          <w:rFonts w:cs="Times"/>
          <w:i/>
          <w:iCs/>
          <w:noProof/>
          <w:szCs w:val="24"/>
        </w:rPr>
        <w:t>30</w:t>
      </w:r>
      <w:r w:rsidRPr="008A2060">
        <w:rPr>
          <w:rFonts w:cs="Times"/>
          <w:noProof/>
          <w:szCs w:val="24"/>
        </w:rPr>
        <w:t xml:space="preserve"> (4), 378–384.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(41) </w:t>
      </w:r>
      <w:r w:rsidRPr="008A2060">
        <w:rPr>
          <w:rFonts w:cs="Times"/>
          <w:noProof/>
          <w:szCs w:val="24"/>
        </w:rPr>
        <w:tab/>
        <w:t xml:space="preserve">Giraldo, J. D.; Rivas, B. L.; Elgueta, E.; Mancisidor, A. Metal Ion Sorption by Chitosan–tripolyphosphate Beads. </w:t>
      </w:r>
      <w:r w:rsidRPr="008A2060">
        <w:rPr>
          <w:rFonts w:cs="Times"/>
          <w:i/>
          <w:iCs/>
          <w:noProof/>
          <w:szCs w:val="24"/>
        </w:rPr>
        <w:t>J. Appl. Polym. Sci.</w:t>
      </w:r>
      <w:r w:rsidRPr="008A2060">
        <w:rPr>
          <w:rFonts w:cs="Times"/>
          <w:noProof/>
          <w:szCs w:val="24"/>
        </w:rPr>
        <w:t xml:space="preserve"> </w:t>
      </w:r>
      <w:r w:rsidRPr="008A2060">
        <w:rPr>
          <w:rFonts w:cs="Times"/>
          <w:b/>
          <w:bCs/>
          <w:noProof/>
          <w:szCs w:val="24"/>
        </w:rPr>
        <w:t>2017</w:t>
      </w:r>
      <w:r w:rsidRPr="008A2060">
        <w:rPr>
          <w:rFonts w:cs="Times"/>
          <w:noProof/>
          <w:szCs w:val="24"/>
        </w:rPr>
        <w:t xml:space="preserve">, </w:t>
      </w:r>
      <w:r w:rsidRPr="008A2060">
        <w:rPr>
          <w:rFonts w:cs="Times"/>
          <w:i/>
          <w:iCs/>
          <w:noProof/>
          <w:szCs w:val="24"/>
        </w:rPr>
        <w:t>134</w:t>
      </w:r>
      <w:r w:rsidRPr="008A2060">
        <w:rPr>
          <w:rFonts w:cs="Times"/>
          <w:noProof/>
          <w:szCs w:val="24"/>
        </w:rPr>
        <w:t xml:space="preserve"> (46), 1–9.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(42) </w:t>
      </w:r>
      <w:r w:rsidRPr="008A2060">
        <w:rPr>
          <w:rFonts w:cs="Times"/>
          <w:noProof/>
          <w:szCs w:val="24"/>
        </w:rPr>
        <w:tab/>
        <w:t>Do, D. D. Adsorption Analysis: Equilibria And Kinetics. Imperial Col</w:t>
      </w:r>
      <w:r w:rsidR="0064433F">
        <w:rPr>
          <w:rFonts w:cs="Times"/>
          <w:noProof/>
          <w:szCs w:val="24"/>
        </w:rPr>
        <w:t xml:space="preserve">lege Press: London, UK </w:t>
      </w:r>
      <w:r w:rsidR="0064433F" w:rsidRPr="0064433F">
        <w:rPr>
          <w:rFonts w:cs="Times"/>
          <w:b/>
          <w:noProof/>
          <w:szCs w:val="24"/>
        </w:rPr>
        <w:t>1998</w:t>
      </w:r>
      <w:r w:rsidR="0064433F">
        <w:rPr>
          <w:rFonts w:cs="Times"/>
          <w:noProof/>
          <w:szCs w:val="24"/>
        </w:rPr>
        <w:t xml:space="preserve">, </w:t>
      </w:r>
      <w:r w:rsidRPr="008A2060">
        <w:rPr>
          <w:rFonts w:cs="Times"/>
          <w:noProof/>
          <w:szCs w:val="24"/>
        </w:rPr>
        <w:t>1–892.</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(43) </w:t>
      </w:r>
      <w:r w:rsidRPr="008A2060">
        <w:rPr>
          <w:rFonts w:cs="Times"/>
          <w:noProof/>
          <w:szCs w:val="24"/>
        </w:rPr>
        <w:tab/>
        <w:t xml:space="preserve">Basiuk, V. A.; Gromovoy, T. Y. Comparative Study of Amino Acid Adsorption on Bare and Octadecyl Silica from Water Using High-Performance Liquid Chromatography. </w:t>
      </w:r>
      <w:r w:rsidRPr="008A2060">
        <w:rPr>
          <w:rFonts w:cs="Times"/>
          <w:i/>
          <w:iCs/>
          <w:noProof/>
          <w:szCs w:val="24"/>
        </w:rPr>
        <w:t>Colloids Surfaces A Physicochem. Eng. Asp.</w:t>
      </w:r>
      <w:r w:rsidRPr="008A2060">
        <w:rPr>
          <w:rFonts w:cs="Times"/>
          <w:noProof/>
          <w:szCs w:val="24"/>
        </w:rPr>
        <w:t xml:space="preserve"> </w:t>
      </w:r>
      <w:r w:rsidRPr="008A2060">
        <w:rPr>
          <w:rFonts w:cs="Times"/>
          <w:b/>
          <w:bCs/>
          <w:noProof/>
          <w:szCs w:val="24"/>
        </w:rPr>
        <w:t>1996</w:t>
      </w:r>
      <w:r w:rsidRPr="008A2060">
        <w:rPr>
          <w:rFonts w:cs="Times"/>
          <w:noProof/>
          <w:szCs w:val="24"/>
        </w:rPr>
        <w:t xml:space="preserve">, </w:t>
      </w:r>
      <w:r w:rsidRPr="008A2060">
        <w:rPr>
          <w:rFonts w:cs="Times"/>
          <w:i/>
          <w:iCs/>
          <w:noProof/>
          <w:szCs w:val="24"/>
        </w:rPr>
        <w:t>118</w:t>
      </w:r>
      <w:r w:rsidRPr="008A2060">
        <w:rPr>
          <w:rFonts w:cs="Times"/>
          <w:noProof/>
          <w:szCs w:val="24"/>
        </w:rPr>
        <w:t xml:space="preserve"> (1–2), 127–140.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(44) </w:t>
      </w:r>
      <w:r w:rsidRPr="008A2060">
        <w:rPr>
          <w:rFonts w:cs="Times"/>
          <w:noProof/>
          <w:szCs w:val="24"/>
        </w:rPr>
        <w:tab/>
        <w:t>Koutsoukos, P. G.; Norde, W.; Lyklema, J. Protein Adsorption on Hematite (</w:t>
      </w:r>
      <w:r w:rsidR="0064433F">
        <w:rPr>
          <w:rFonts w:cs="Times"/>
          <w:noProof/>
          <w:szCs w:val="24"/>
        </w:rPr>
        <w:t>α</w:t>
      </w:r>
      <w:r w:rsidRPr="008A2060">
        <w:rPr>
          <w:rFonts w:cs="Times"/>
          <w:noProof/>
          <w:szCs w:val="24"/>
        </w:rPr>
        <w:t>-Fe</w:t>
      </w:r>
      <w:r w:rsidRPr="0064433F">
        <w:rPr>
          <w:rFonts w:cs="Times"/>
          <w:noProof/>
          <w:szCs w:val="24"/>
          <w:vertAlign w:val="subscript"/>
        </w:rPr>
        <w:t>2</w:t>
      </w:r>
      <w:r w:rsidR="0064433F">
        <w:rPr>
          <w:rFonts w:cs="Times"/>
          <w:noProof/>
          <w:szCs w:val="24"/>
        </w:rPr>
        <w:t>O</w:t>
      </w:r>
      <w:r w:rsidRPr="0064433F">
        <w:rPr>
          <w:rFonts w:cs="Times"/>
          <w:noProof/>
          <w:szCs w:val="24"/>
          <w:vertAlign w:val="subscript"/>
        </w:rPr>
        <w:t>3</w:t>
      </w:r>
      <w:r w:rsidRPr="008A2060">
        <w:rPr>
          <w:rFonts w:cs="Times"/>
          <w:noProof/>
          <w:szCs w:val="24"/>
        </w:rPr>
        <w:t xml:space="preserve">) Surfaces. </w:t>
      </w:r>
      <w:r w:rsidRPr="008A2060">
        <w:rPr>
          <w:rFonts w:cs="Times"/>
          <w:i/>
          <w:iCs/>
          <w:noProof/>
          <w:szCs w:val="24"/>
        </w:rPr>
        <w:t>J. Colloid Interface Sci.</w:t>
      </w:r>
      <w:r w:rsidRPr="008A2060">
        <w:rPr>
          <w:rFonts w:cs="Times"/>
          <w:noProof/>
          <w:szCs w:val="24"/>
        </w:rPr>
        <w:t xml:space="preserve"> </w:t>
      </w:r>
      <w:r w:rsidRPr="008A2060">
        <w:rPr>
          <w:rFonts w:cs="Times"/>
          <w:b/>
          <w:bCs/>
          <w:noProof/>
          <w:szCs w:val="24"/>
        </w:rPr>
        <w:t>1983</w:t>
      </w:r>
      <w:r w:rsidRPr="008A2060">
        <w:rPr>
          <w:rFonts w:cs="Times"/>
          <w:noProof/>
          <w:szCs w:val="24"/>
        </w:rPr>
        <w:t xml:space="preserve">, </w:t>
      </w:r>
      <w:r w:rsidRPr="008A2060">
        <w:rPr>
          <w:rFonts w:cs="Times"/>
          <w:i/>
          <w:iCs/>
          <w:noProof/>
          <w:szCs w:val="24"/>
        </w:rPr>
        <w:t>95</w:t>
      </w:r>
      <w:r w:rsidRPr="008A2060">
        <w:rPr>
          <w:rFonts w:cs="Times"/>
          <w:noProof/>
          <w:szCs w:val="24"/>
        </w:rPr>
        <w:t xml:space="preserve"> (2), 385–397.</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(45) </w:t>
      </w:r>
      <w:r w:rsidRPr="008A2060">
        <w:rPr>
          <w:rFonts w:cs="Times"/>
          <w:noProof/>
          <w:szCs w:val="24"/>
        </w:rPr>
        <w:tab/>
        <w:t xml:space="preserve">Norde, W.; MacRitchie, F.; Nowicka, G.; Lyklema, J. Protein Adsorption at Solid-Liquid Interfaces: Reversibility and Conformation Aspects. </w:t>
      </w:r>
      <w:r w:rsidRPr="008A2060">
        <w:rPr>
          <w:rFonts w:cs="Times"/>
          <w:i/>
          <w:iCs/>
          <w:noProof/>
          <w:szCs w:val="24"/>
        </w:rPr>
        <w:t>J. Colloid Interface Sci.</w:t>
      </w:r>
      <w:r w:rsidRPr="008A2060">
        <w:rPr>
          <w:rFonts w:cs="Times"/>
          <w:noProof/>
          <w:szCs w:val="24"/>
        </w:rPr>
        <w:t xml:space="preserve"> </w:t>
      </w:r>
      <w:r w:rsidRPr="008A2060">
        <w:rPr>
          <w:rFonts w:cs="Times"/>
          <w:b/>
          <w:bCs/>
          <w:noProof/>
          <w:szCs w:val="24"/>
        </w:rPr>
        <w:t>1986</w:t>
      </w:r>
      <w:r w:rsidRPr="008A2060">
        <w:rPr>
          <w:rFonts w:cs="Times"/>
          <w:noProof/>
          <w:szCs w:val="24"/>
        </w:rPr>
        <w:t xml:space="preserve">, </w:t>
      </w:r>
      <w:r w:rsidRPr="008A2060">
        <w:rPr>
          <w:rFonts w:cs="Times"/>
          <w:i/>
          <w:iCs/>
          <w:noProof/>
          <w:szCs w:val="24"/>
        </w:rPr>
        <w:t>112</w:t>
      </w:r>
      <w:r w:rsidRPr="008A2060">
        <w:rPr>
          <w:rFonts w:cs="Times"/>
          <w:noProof/>
          <w:szCs w:val="24"/>
        </w:rPr>
        <w:t xml:space="preserve"> (2), 447–456.</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(46) </w:t>
      </w:r>
      <w:r w:rsidRPr="008A2060">
        <w:rPr>
          <w:rFonts w:cs="Times"/>
          <w:noProof/>
          <w:szCs w:val="24"/>
        </w:rPr>
        <w:tab/>
        <w:t xml:space="preserve">Pendleton, P.; Schumann, R.; Wong, S. H. Microcystin-LR Adsorption by Activated Carbon. </w:t>
      </w:r>
      <w:r w:rsidRPr="008A2060">
        <w:rPr>
          <w:rFonts w:cs="Times"/>
          <w:i/>
          <w:iCs/>
          <w:noProof/>
          <w:szCs w:val="24"/>
        </w:rPr>
        <w:t>J. Colloid Interface Sci.</w:t>
      </w:r>
      <w:r w:rsidRPr="008A2060">
        <w:rPr>
          <w:rFonts w:cs="Times"/>
          <w:noProof/>
          <w:szCs w:val="24"/>
        </w:rPr>
        <w:t xml:space="preserve"> </w:t>
      </w:r>
      <w:r w:rsidRPr="008A2060">
        <w:rPr>
          <w:rFonts w:cs="Times"/>
          <w:b/>
          <w:bCs/>
          <w:noProof/>
          <w:szCs w:val="24"/>
        </w:rPr>
        <w:t>2001</w:t>
      </w:r>
      <w:r w:rsidRPr="008A2060">
        <w:rPr>
          <w:rFonts w:cs="Times"/>
          <w:noProof/>
          <w:szCs w:val="24"/>
        </w:rPr>
        <w:t xml:space="preserve">, </w:t>
      </w:r>
      <w:r w:rsidRPr="008A2060">
        <w:rPr>
          <w:rFonts w:cs="Times"/>
          <w:i/>
          <w:iCs/>
          <w:noProof/>
          <w:szCs w:val="24"/>
        </w:rPr>
        <w:t>240</w:t>
      </w:r>
      <w:r w:rsidRPr="008A2060">
        <w:rPr>
          <w:rFonts w:cs="Times"/>
          <w:noProof/>
          <w:szCs w:val="24"/>
        </w:rPr>
        <w:t xml:space="preserve"> (1), 1–8.</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(47)</w:t>
      </w:r>
      <w:r w:rsidR="0064433F">
        <w:rPr>
          <w:rFonts w:cs="Times"/>
          <w:noProof/>
          <w:szCs w:val="24"/>
        </w:rPr>
        <w:t xml:space="preserve"> </w:t>
      </w:r>
      <w:r w:rsidR="0064433F">
        <w:rPr>
          <w:rFonts w:cs="Times"/>
          <w:noProof/>
          <w:szCs w:val="24"/>
        </w:rPr>
        <w:tab/>
        <w:t>Huber, R. G.; Margreiter, M.</w:t>
      </w:r>
      <w:r w:rsidRPr="008A2060">
        <w:rPr>
          <w:rFonts w:cs="Times"/>
          <w:noProof/>
          <w:szCs w:val="24"/>
        </w:rPr>
        <w:t xml:space="preserve">; Fuchs, J. E.; Von, S.; Tautermann, C. S.; Liedl, K. R.; Fox, T. Heteroaromatic </w:t>
      </w:r>
      <w:r w:rsidR="0064433F">
        <w:rPr>
          <w:rFonts w:cs="Times"/>
          <w:noProof/>
          <w:szCs w:val="24"/>
        </w:rPr>
        <w:t>π</w:t>
      </w:r>
      <w:r w:rsidRPr="008A2060">
        <w:rPr>
          <w:rFonts w:cs="Times"/>
          <w:noProof/>
          <w:szCs w:val="24"/>
        </w:rPr>
        <w:t xml:space="preserve">-Stacking Energy Landscapes. </w:t>
      </w:r>
      <w:r w:rsidRPr="008A2060">
        <w:rPr>
          <w:rFonts w:cs="Times"/>
          <w:i/>
          <w:iCs/>
          <w:noProof/>
          <w:szCs w:val="24"/>
        </w:rPr>
        <w:t>J. Chem. Inf. Model.</w:t>
      </w:r>
      <w:r w:rsidRPr="008A2060">
        <w:rPr>
          <w:rFonts w:cs="Times"/>
          <w:noProof/>
          <w:szCs w:val="24"/>
        </w:rPr>
        <w:t xml:space="preserve"> </w:t>
      </w:r>
      <w:r w:rsidRPr="008A2060">
        <w:rPr>
          <w:rFonts w:cs="Times"/>
          <w:b/>
          <w:bCs/>
          <w:noProof/>
          <w:szCs w:val="24"/>
        </w:rPr>
        <w:t>2014</w:t>
      </w:r>
      <w:r w:rsidRPr="008A2060">
        <w:rPr>
          <w:rFonts w:cs="Times"/>
          <w:noProof/>
          <w:szCs w:val="24"/>
        </w:rPr>
        <w:t xml:space="preserve">, </w:t>
      </w:r>
      <w:r w:rsidRPr="008A2060">
        <w:rPr>
          <w:rFonts w:cs="Times"/>
          <w:i/>
          <w:iCs/>
          <w:noProof/>
          <w:szCs w:val="24"/>
        </w:rPr>
        <w:t>54</w:t>
      </w:r>
      <w:r w:rsidRPr="008A2060">
        <w:rPr>
          <w:rFonts w:cs="Times"/>
          <w:noProof/>
          <w:szCs w:val="24"/>
        </w:rPr>
        <w:t>, 1371–1379.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(48) </w:t>
      </w:r>
      <w:r w:rsidRPr="008A2060">
        <w:rPr>
          <w:rFonts w:cs="Times"/>
          <w:noProof/>
          <w:szCs w:val="24"/>
        </w:rPr>
        <w:tab/>
        <w:t xml:space="preserve">Olsztynska, S.; Dupuy, N.; Vrielynck, L.; Komorowska, M. Water Evaporation Analysis of L-Phenylalanine from Initial Aqueous Solutions to Powder State by Vibrational </w:t>
      </w:r>
      <w:r w:rsidRPr="008A2060">
        <w:rPr>
          <w:rFonts w:cs="Times"/>
          <w:noProof/>
          <w:szCs w:val="24"/>
        </w:rPr>
        <w:lastRenderedPageBreak/>
        <w:t xml:space="preserve">Spectroscopy. </w:t>
      </w:r>
      <w:r w:rsidRPr="008A2060">
        <w:rPr>
          <w:rFonts w:cs="Times"/>
          <w:i/>
          <w:iCs/>
          <w:noProof/>
          <w:szCs w:val="24"/>
        </w:rPr>
        <w:t>Appl. Spectrosc.</w:t>
      </w:r>
      <w:r w:rsidRPr="008A2060">
        <w:rPr>
          <w:rFonts w:cs="Times"/>
          <w:noProof/>
          <w:szCs w:val="24"/>
        </w:rPr>
        <w:t xml:space="preserve"> </w:t>
      </w:r>
      <w:r w:rsidRPr="008A2060">
        <w:rPr>
          <w:rFonts w:cs="Times"/>
          <w:b/>
          <w:bCs/>
          <w:noProof/>
          <w:szCs w:val="24"/>
        </w:rPr>
        <w:t>2006</w:t>
      </w:r>
      <w:r w:rsidR="0064433F">
        <w:rPr>
          <w:rFonts w:cs="Times"/>
          <w:noProof/>
          <w:szCs w:val="24"/>
        </w:rPr>
        <w:t xml:space="preserve">, </w:t>
      </w:r>
      <w:r w:rsidR="0064433F" w:rsidRPr="0064433F">
        <w:rPr>
          <w:rFonts w:cs="Times"/>
          <w:i/>
          <w:noProof/>
          <w:szCs w:val="24"/>
        </w:rPr>
        <w:t>60</w:t>
      </w:r>
      <w:r w:rsidR="0064433F">
        <w:rPr>
          <w:rFonts w:cs="Times"/>
          <w:noProof/>
          <w:szCs w:val="24"/>
        </w:rPr>
        <w:t xml:space="preserve"> (9), 1040</w:t>
      </w:r>
      <w:r w:rsidR="0064433F" w:rsidRPr="008A2060">
        <w:rPr>
          <w:rFonts w:cs="Times"/>
          <w:noProof/>
          <w:szCs w:val="24"/>
        </w:rPr>
        <w:t>–</w:t>
      </w:r>
      <w:r w:rsidR="0064433F">
        <w:rPr>
          <w:rFonts w:cs="Times"/>
          <w:noProof/>
          <w:szCs w:val="24"/>
        </w:rPr>
        <w:t>1053.</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(49) </w:t>
      </w:r>
      <w:r w:rsidRPr="008A2060">
        <w:rPr>
          <w:rFonts w:cs="Times"/>
          <w:noProof/>
          <w:szCs w:val="24"/>
        </w:rPr>
        <w:tab/>
        <w:t xml:space="preserve">Kosmulski, M. The Significance of the Difference in the Point of Zero Charge between Rutile and Anatase. </w:t>
      </w:r>
      <w:r w:rsidRPr="008A2060">
        <w:rPr>
          <w:rFonts w:cs="Times"/>
          <w:i/>
          <w:iCs/>
          <w:noProof/>
          <w:szCs w:val="24"/>
        </w:rPr>
        <w:t>Adv. Colloid Interface Sci.</w:t>
      </w:r>
      <w:r w:rsidRPr="008A2060">
        <w:rPr>
          <w:rFonts w:cs="Times"/>
          <w:noProof/>
          <w:szCs w:val="24"/>
        </w:rPr>
        <w:t xml:space="preserve"> </w:t>
      </w:r>
      <w:r w:rsidRPr="008A2060">
        <w:rPr>
          <w:rFonts w:cs="Times"/>
          <w:b/>
          <w:bCs/>
          <w:noProof/>
          <w:szCs w:val="24"/>
        </w:rPr>
        <w:t>2002</w:t>
      </w:r>
      <w:r w:rsidRPr="008A2060">
        <w:rPr>
          <w:rFonts w:cs="Times"/>
          <w:noProof/>
          <w:szCs w:val="24"/>
        </w:rPr>
        <w:t xml:space="preserve">, </w:t>
      </w:r>
      <w:r w:rsidRPr="008A2060">
        <w:rPr>
          <w:rFonts w:cs="Times"/>
          <w:i/>
          <w:iCs/>
          <w:noProof/>
          <w:szCs w:val="24"/>
        </w:rPr>
        <w:t>99</w:t>
      </w:r>
      <w:r w:rsidRPr="008A2060">
        <w:rPr>
          <w:rFonts w:cs="Times"/>
          <w:noProof/>
          <w:szCs w:val="24"/>
        </w:rPr>
        <w:t xml:space="preserve"> (3), 255–264.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(50) </w:t>
      </w:r>
      <w:r w:rsidRPr="008A2060">
        <w:rPr>
          <w:rFonts w:cs="Times"/>
          <w:noProof/>
          <w:szCs w:val="24"/>
        </w:rPr>
        <w:tab/>
        <w:t xml:space="preserve">Giles, C. H.; MacEwan, T. H.; Nakhwa, S. N.; Smith, D. 786. Studies in Adsorption. Part XI. A System of Classification of Solution Adsorption Isotherms, and Its Use in Diagnosis of Adsorption Mechanisms and in Measurement of Specific Surface Areas of Solids. </w:t>
      </w:r>
      <w:r w:rsidRPr="008A2060">
        <w:rPr>
          <w:rFonts w:cs="Times"/>
          <w:i/>
          <w:iCs/>
          <w:noProof/>
          <w:szCs w:val="24"/>
        </w:rPr>
        <w:t>J. Chem. Soc.</w:t>
      </w:r>
      <w:r w:rsidRPr="008A2060">
        <w:rPr>
          <w:rFonts w:cs="Times"/>
          <w:noProof/>
          <w:szCs w:val="24"/>
        </w:rPr>
        <w:t xml:space="preserve"> </w:t>
      </w:r>
      <w:r w:rsidRPr="008A2060">
        <w:rPr>
          <w:rFonts w:cs="Times"/>
          <w:b/>
          <w:bCs/>
          <w:noProof/>
          <w:szCs w:val="24"/>
        </w:rPr>
        <w:t>1960</w:t>
      </w:r>
      <w:r w:rsidRPr="008A2060">
        <w:rPr>
          <w:rFonts w:cs="Times"/>
          <w:noProof/>
          <w:szCs w:val="24"/>
        </w:rPr>
        <w:t xml:space="preserve">, </w:t>
      </w:r>
      <w:r w:rsidRPr="008A2060">
        <w:rPr>
          <w:rFonts w:cs="Times"/>
          <w:i/>
          <w:iCs/>
          <w:noProof/>
          <w:szCs w:val="24"/>
        </w:rPr>
        <w:t>846</w:t>
      </w:r>
      <w:r w:rsidRPr="008A2060">
        <w:rPr>
          <w:rFonts w:cs="Times"/>
          <w:noProof/>
          <w:szCs w:val="24"/>
        </w:rPr>
        <w:t>, 3973.</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(51) </w:t>
      </w:r>
      <w:r w:rsidRPr="008A2060">
        <w:rPr>
          <w:rFonts w:cs="Times"/>
          <w:noProof/>
          <w:szCs w:val="24"/>
        </w:rPr>
        <w:tab/>
        <w:t xml:space="preserve">Sushko, I.; Novotarskyi, S.; Körner, R.; Pandey, A. K.; Rupp, M.; Teetz, W.; Brandmaier, S.; Abdelaziz, A.; Prokopenko, V. V.; Tanchuk, V. Y.; et al. Online Chemical Modeling Environment (OCHEM): Web Platform for Data Storage, Model Development and Publishing of Chemical Information. </w:t>
      </w:r>
      <w:r w:rsidRPr="008A2060">
        <w:rPr>
          <w:rFonts w:cs="Times"/>
          <w:i/>
          <w:iCs/>
          <w:noProof/>
          <w:szCs w:val="24"/>
        </w:rPr>
        <w:t>J. Comput. Aided. Mol. Des.</w:t>
      </w:r>
      <w:r w:rsidRPr="008A2060">
        <w:rPr>
          <w:rFonts w:cs="Times"/>
          <w:noProof/>
          <w:szCs w:val="24"/>
        </w:rPr>
        <w:t xml:space="preserve"> </w:t>
      </w:r>
      <w:r w:rsidRPr="008A2060">
        <w:rPr>
          <w:rFonts w:cs="Times"/>
          <w:b/>
          <w:bCs/>
          <w:noProof/>
          <w:szCs w:val="24"/>
        </w:rPr>
        <w:t>2011</w:t>
      </w:r>
      <w:r w:rsidRPr="008A2060">
        <w:rPr>
          <w:rFonts w:cs="Times"/>
          <w:noProof/>
          <w:szCs w:val="24"/>
        </w:rPr>
        <w:t xml:space="preserve">, </w:t>
      </w:r>
      <w:r w:rsidRPr="008A2060">
        <w:rPr>
          <w:rFonts w:cs="Times"/>
          <w:i/>
          <w:iCs/>
          <w:noProof/>
          <w:szCs w:val="24"/>
        </w:rPr>
        <w:t>25</w:t>
      </w:r>
      <w:r w:rsidRPr="008A2060">
        <w:rPr>
          <w:rFonts w:cs="Times"/>
          <w:noProof/>
          <w:szCs w:val="24"/>
        </w:rPr>
        <w:t xml:space="preserve"> (6), 533–554.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(52) </w:t>
      </w:r>
      <w:r w:rsidRPr="008A2060">
        <w:rPr>
          <w:rFonts w:cs="Times"/>
          <w:noProof/>
          <w:szCs w:val="24"/>
        </w:rPr>
        <w:tab/>
        <w:t xml:space="preserve">Sukharev, Y. I.; Potemkin, V. A.; Markov, B. A. Autowave Processes of Forming Gels as a Cause of the Coloring of </w:t>
      </w:r>
      <w:r w:rsidRPr="00400A92">
        <w:rPr>
          <w:rFonts w:cs="Times"/>
          <w:noProof/>
          <w:szCs w:val="24"/>
        </w:rPr>
        <w:t>Oxyhydrate</w:t>
      </w:r>
      <w:r w:rsidRPr="008A2060">
        <w:rPr>
          <w:rFonts w:cs="Times"/>
          <w:noProof/>
          <w:szCs w:val="24"/>
        </w:rPr>
        <w:t xml:space="preserve"> Gels (the Chromatic Effect) of Some Rare Earth Metals (Yttrium, Gadolinium). </w:t>
      </w:r>
      <w:r w:rsidRPr="008A2060">
        <w:rPr>
          <w:rFonts w:cs="Times"/>
          <w:i/>
          <w:iCs/>
          <w:noProof/>
          <w:szCs w:val="24"/>
        </w:rPr>
        <w:t>Colloids Surfaces A Physicochem. Eng. Asp.</w:t>
      </w:r>
      <w:r w:rsidRPr="008A2060">
        <w:rPr>
          <w:rFonts w:cs="Times"/>
          <w:noProof/>
          <w:szCs w:val="24"/>
        </w:rPr>
        <w:t xml:space="preserve"> </w:t>
      </w:r>
      <w:r w:rsidRPr="008A2060">
        <w:rPr>
          <w:rFonts w:cs="Times"/>
          <w:b/>
          <w:bCs/>
          <w:noProof/>
          <w:szCs w:val="24"/>
        </w:rPr>
        <w:t>2001</w:t>
      </w:r>
      <w:r w:rsidRPr="008A2060">
        <w:rPr>
          <w:rFonts w:cs="Times"/>
          <w:noProof/>
          <w:szCs w:val="24"/>
        </w:rPr>
        <w:t xml:space="preserve">, </w:t>
      </w:r>
      <w:r w:rsidRPr="008A2060">
        <w:rPr>
          <w:rFonts w:cs="Times"/>
          <w:i/>
          <w:iCs/>
          <w:noProof/>
          <w:szCs w:val="24"/>
        </w:rPr>
        <w:t>194</w:t>
      </w:r>
      <w:r w:rsidRPr="008A2060">
        <w:rPr>
          <w:rFonts w:cs="Times"/>
          <w:noProof/>
          <w:szCs w:val="24"/>
        </w:rPr>
        <w:t xml:space="preserve"> (1–3), 75–84.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(53) </w:t>
      </w:r>
      <w:r w:rsidRPr="008A2060">
        <w:rPr>
          <w:rFonts w:cs="Times"/>
          <w:noProof/>
          <w:szCs w:val="24"/>
        </w:rPr>
        <w:tab/>
        <w:t xml:space="preserve">Potemkin, </w:t>
      </w:r>
      <w:r w:rsidR="006E23BF" w:rsidRPr="008A2060">
        <w:rPr>
          <w:rFonts w:cs="Times"/>
          <w:noProof/>
          <w:szCs w:val="24"/>
        </w:rPr>
        <w:t>V. A.</w:t>
      </w:r>
      <w:r w:rsidR="006E23BF">
        <w:rPr>
          <w:rFonts w:cs="Times"/>
          <w:noProof/>
          <w:szCs w:val="24"/>
        </w:rPr>
        <w:t xml:space="preserve">; </w:t>
      </w:r>
      <w:r w:rsidRPr="008A2060">
        <w:rPr>
          <w:rFonts w:cs="Times"/>
          <w:noProof/>
          <w:szCs w:val="24"/>
        </w:rPr>
        <w:t xml:space="preserve">Maksakov, </w:t>
      </w:r>
      <w:r w:rsidR="006E23BF" w:rsidRPr="008A2060">
        <w:rPr>
          <w:rFonts w:cs="Times"/>
          <w:noProof/>
          <w:szCs w:val="24"/>
        </w:rPr>
        <w:t>V. A.</w:t>
      </w:r>
      <w:r w:rsidR="006E23BF">
        <w:rPr>
          <w:rFonts w:cs="Times"/>
          <w:noProof/>
          <w:szCs w:val="24"/>
        </w:rPr>
        <w:t>;</w:t>
      </w:r>
      <w:r w:rsidRPr="008A2060">
        <w:rPr>
          <w:rFonts w:cs="Times"/>
          <w:noProof/>
          <w:szCs w:val="24"/>
        </w:rPr>
        <w:t xml:space="preserve"> </w:t>
      </w:r>
      <w:r w:rsidR="006E23BF">
        <w:rPr>
          <w:rFonts w:cs="Times"/>
          <w:noProof/>
          <w:szCs w:val="24"/>
        </w:rPr>
        <w:t>Kirin,</w:t>
      </w:r>
      <w:r w:rsidRPr="008A2060">
        <w:rPr>
          <w:rFonts w:cs="Times"/>
          <w:noProof/>
          <w:szCs w:val="24"/>
        </w:rPr>
        <w:t xml:space="preserve"> </w:t>
      </w:r>
      <w:r w:rsidR="006E23BF" w:rsidRPr="008A2060">
        <w:rPr>
          <w:rFonts w:cs="Times"/>
          <w:noProof/>
          <w:szCs w:val="24"/>
        </w:rPr>
        <w:t>V. P.</w:t>
      </w:r>
      <w:r w:rsidRPr="008A2060">
        <w:rPr>
          <w:rFonts w:cs="Times"/>
          <w:noProof/>
          <w:szCs w:val="24"/>
        </w:rPr>
        <w:t>C</w:t>
      </w:r>
      <w:r w:rsidR="006E23BF" w:rsidRPr="008A2060">
        <w:rPr>
          <w:rFonts w:cs="Times"/>
          <w:noProof/>
          <w:szCs w:val="24"/>
        </w:rPr>
        <w:t>onformational</w:t>
      </w:r>
      <w:r w:rsidRPr="008A2060">
        <w:rPr>
          <w:rFonts w:cs="Times"/>
          <w:noProof/>
          <w:szCs w:val="24"/>
        </w:rPr>
        <w:t xml:space="preserve"> S</w:t>
      </w:r>
      <w:r w:rsidR="006E23BF" w:rsidRPr="008A2060">
        <w:rPr>
          <w:rFonts w:cs="Times"/>
          <w:noProof/>
          <w:szCs w:val="24"/>
        </w:rPr>
        <w:t>tates of</w:t>
      </w:r>
      <w:r w:rsidRPr="008A2060">
        <w:rPr>
          <w:rFonts w:cs="Times"/>
          <w:noProof/>
          <w:szCs w:val="24"/>
        </w:rPr>
        <w:t xml:space="preserve"> T</w:t>
      </w:r>
      <w:r w:rsidR="006E23BF" w:rsidRPr="008A2060">
        <w:rPr>
          <w:rFonts w:cs="Times"/>
          <w:noProof/>
          <w:szCs w:val="24"/>
        </w:rPr>
        <w:t>riosmium</w:t>
      </w:r>
      <w:r w:rsidRPr="008A2060">
        <w:rPr>
          <w:rFonts w:cs="Times"/>
          <w:noProof/>
          <w:szCs w:val="24"/>
        </w:rPr>
        <w:t xml:space="preserve"> C</w:t>
      </w:r>
      <w:r w:rsidR="006E23BF" w:rsidRPr="008A2060">
        <w:rPr>
          <w:rFonts w:cs="Times"/>
          <w:noProof/>
          <w:szCs w:val="24"/>
        </w:rPr>
        <w:t>lusters with</w:t>
      </w:r>
      <w:r w:rsidRPr="008A2060">
        <w:rPr>
          <w:rFonts w:cs="Times"/>
          <w:noProof/>
          <w:szCs w:val="24"/>
        </w:rPr>
        <w:t xml:space="preserve"> </w:t>
      </w:r>
      <w:r w:rsidRPr="00400A92">
        <w:rPr>
          <w:rFonts w:cs="Times"/>
          <w:noProof/>
          <w:szCs w:val="24"/>
        </w:rPr>
        <w:t>A</w:t>
      </w:r>
      <w:r w:rsidR="006E23BF" w:rsidRPr="00400A92">
        <w:rPr>
          <w:rFonts w:cs="Times"/>
          <w:noProof/>
          <w:szCs w:val="24"/>
        </w:rPr>
        <w:t>minoacid</w:t>
      </w:r>
      <w:r w:rsidRPr="008A2060">
        <w:rPr>
          <w:rFonts w:cs="Times"/>
          <w:noProof/>
          <w:szCs w:val="24"/>
        </w:rPr>
        <w:t xml:space="preserve"> L</w:t>
      </w:r>
      <w:r w:rsidR="006E23BF" w:rsidRPr="008A2060">
        <w:rPr>
          <w:rFonts w:cs="Times"/>
          <w:noProof/>
          <w:szCs w:val="24"/>
        </w:rPr>
        <w:t>igands</w:t>
      </w:r>
      <w:r w:rsidRPr="008A2060">
        <w:rPr>
          <w:rFonts w:cs="Times"/>
          <w:noProof/>
          <w:szCs w:val="24"/>
        </w:rPr>
        <w:t>: A T</w:t>
      </w:r>
      <w:r w:rsidR="006E23BF" w:rsidRPr="008A2060">
        <w:rPr>
          <w:rFonts w:cs="Times"/>
          <w:noProof/>
          <w:szCs w:val="24"/>
        </w:rPr>
        <w:t>heoretical</w:t>
      </w:r>
      <w:r w:rsidRPr="008A2060">
        <w:rPr>
          <w:rFonts w:cs="Times"/>
          <w:noProof/>
          <w:szCs w:val="24"/>
        </w:rPr>
        <w:t xml:space="preserve"> S</w:t>
      </w:r>
      <w:r w:rsidR="006E23BF" w:rsidRPr="008A2060">
        <w:rPr>
          <w:rFonts w:cs="Times"/>
          <w:noProof/>
          <w:szCs w:val="24"/>
        </w:rPr>
        <w:t>tudy</w:t>
      </w:r>
      <w:r w:rsidRPr="008A2060">
        <w:rPr>
          <w:rFonts w:cs="Times"/>
          <w:noProof/>
          <w:szCs w:val="24"/>
        </w:rPr>
        <w:t xml:space="preserve">. </w:t>
      </w:r>
      <w:r w:rsidRPr="008A2060">
        <w:rPr>
          <w:rFonts w:cs="Times"/>
          <w:b/>
          <w:bCs/>
          <w:noProof/>
          <w:szCs w:val="24"/>
        </w:rPr>
        <w:t>2003</w:t>
      </w:r>
      <w:r w:rsidRPr="008A2060">
        <w:rPr>
          <w:rFonts w:cs="Times"/>
          <w:noProof/>
          <w:szCs w:val="24"/>
        </w:rPr>
        <w:t xml:space="preserve">, </w:t>
      </w:r>
      <w:r w:rsidRPr="008A2060">
        <w:rPr>
          <w:rFonts w:cs="Times"/>
          <w:i/>
          <w:iCs/>
          <w:noProof/>
          <w:szCs w:val="24"/>
        </w:rPr>
        <w:t>44</w:t>
      </w:r>
      <w:r w:rsidRPr="008A2060">
        <w:rPr>
          <w:rFonts w:cs="Times"/>
          <w:noProof/>
          <w:szCs w:val="24"/>
        </w:rPr>
        <w:t xml:space="preserve"> (5), 811–817.</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(54) </w:t>
      </w:r>
      <w:r w:rsidRPr="008A2060">
        <w:rPr>
          <w:rFonts w:cs="Times"/>
          <w:noProof/>
          <w:szCs w:val="24"/>
        </w:rPr>
        <w:tab/>
        <w:t xml:space="preserve">Potemkin, V. A.; Krasnov, V. P.; Levit, G. L.; Bartashevich, E. V.; Andreeva, I. N.; Kuzminsky, M. B.; Anikin, N. A.; Charushin, V. N.; Chupakhin, O. N. Kinetic Resolution of (±)-2,3-Dihydro-3-Methyl-4H-1,4-Benzoxazine in the Reaction with (S)-Naproxen Chloride: A Theoretical Study. </w:t>
      </w:r>
      <w:r w:rsidRPr="008A2060">
        <w:rPr>
          <w:rFonts w:cs="Times"/>
          <w:i/>
          <w:iCs/>
          <w:noProof/>
          <w:szCs w:val="24"/>
        </w:rPr>
        <w:t>Mendeleev Commun.</w:t>
      </w:r>
      <w:r w:rsidRPr="008A2060">
        <w:rPr>
          <w:rFonts w:cs="Times"/>
          <w:noProof/>
          <w:szCs w:val="24"/>
        </w:rPr>
        <w:t xml:space="preserve"> </w:t>
      </w:r>
      <w:r w:rsidRPr="008A2060">
        <w:rPr>
          <w:rFonts w:cs="Times"/>
          <w:b/>
          <w:bCs/>
          <w:noProof/>
          <w:szCs w:val="24"/>
        </w:rPr>
        <w:t>2004</w:t>
      </w:r>
      <w:r w:rsidRPr="008A2060">
        <w:rPr>
          <w:rFonts w:cs="Times"/>
          <w:noProof/>
          <w:szCs w:val="24"/>
        </w:rPr>
        <w:t xml:space="preserve">, </w:t>
      </w:r>
      <w:r w:rsidRPr="008A2060">
        <w:rPr>
          <w:rFonts w:cs="Times"/>
          <w:i/>
          <w:iCs/>
          <w:noProof/>
          <w:szCs w:val="24"/>
        </w:rPr>
        <w:t>14</w:t>
      </w:r>
      <w:r w:rsidRPr="008A2060">
        <w:rPr>
          <w:rFonts w:cs="Times"/>
          <w:noProof/>
          <w:szCs w:val="24"/>
        </w:rPr>
        <w:t xml:space="preserve"> (2), 69–70.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lastRenderedPageBreak/>
        <w:t xml:space="preserve">(55) </w:t>
      </w:r>
      <w:r w:rsidRPr="008A2060">
        <w:rPr>
          <w:rFonts w:cs="Times"/>
          <w:noProof/>
          <w:szCs w:val="24"/>
        </w:rPr>
        <w:tab/>
        <w:t>Potemkin</w:t>
      </w:r>
      <w:r w:rsidR="00000A39" w:rsidRPr="00000A39">
        <w:rPr>
          <w:rFonts w:cs="Times"/>
          <w:noProof/>
          <w:szCs w:val="24"/>
        </w:rPr>
        <w:t xml:space="preserve"> </w:t>
      </w:r>
      <w:r w:rsidR="00000A39" w:rsidRPr="008A2060">
        <w:rPr>
          <w:rFonts w:cs="Times"/>
          <w:noProof/>
          <w:szCs w:val="24"/>
        </w:rPr>
        <w:t>V. A.</w:t>
      </w:r>
      <w:r w:rsidR="00000A39">
        <w:rPr>
          <w:rFonts w:cs="Times"/>
          <w:noProof/>
          <w:szCs w:val="24"/>
        </w:rPr>
        <w:t>;</w:t>
      </w:r>
      <w:r w:rsidRPr="008A2060">
        <w:rPr>
          <w:rFonts w:cs="Times"/>
          <w:noProof/>
          <w:szCs w:val="24"/>
        </w:rPr>
        <w:t xml:space="preserve"> Maksakov, </w:t>
      </w:r>
      <w:r w:rsidR="00000A39" w:rsidRPr="008A2060">
        <w:rPr>
          <w:rFonts w:cs="Times"/>
          <w:noProof/>
          <w:szCs w:val="24"/>
        </w:rPr>
        <w:t>V. A.</w:t>
      </w:r>
      <w:r w:rsidR="00000A39">
        <w:rPr>
          <w:rFonts w:cs="Times"/>
          <w:noProof/>
          <w:szCs w:val="24"/>
        </w:rPr>
        <w:t>; Korenev,</w:t>
      </w:r>
      <w:r w:rsidRPr="008A2060">
        <w:rPr>
          <w:rFonts w:cs="Times"/>
          <w:noProof/>
          <w:szCs w:val="24"/>
        </w:rPr>
        <w:t xml:space="preserve"> </w:t>
      </w:r>
      <w:r w:rsidR="00000A39" w:rsidRPr="008A2060">
        <w:rPr>
          <w:rFonts w:cs="Times"/>
          <w:noProof/>
          <w:szCs w:val="24"/>
        </w:rPr>
        <w:t>V. P.</w:t>
      </w:r>
      <w:r w:rsidR="00000A39">
        <w:rPr>
          <w:rFonts w:cs="Times"/>
          <w:noProof/>
          <w:szCs w:val="24"/>
        </w:rPr>
        <w:t xml:space="preserve"> </w:t>
      </w:r>
      <w:r w:rsidRPr="008A2060">
        <w:rPr>
          <w:rFonts w:cs="Times"/>
          <w:noProof/>
          <w:szCs w:val="24"/>
        </w:rPr>
        <w:t>T</w:t>
      </w:r>
      <w:r w:rsidR="00000A39" w:rsidRPr="008A2060">
        <w:rPr>
          <w:rFonts w:cs="Times"/>
          <w:noProof/>
          <w:szCs w:val="24"/>
        </w:rPr>
        <w:t>heoretical</w:t>
      </w:r>
      <w:r w:rsidRPr="008A2060">
        <w:rPr>
          <w:rFonts w:cs="Times"/>
          <w:noProof/>
          <w:szCs w:val="24"/>
        </w:rPr>
        <w:t xml:space="preserve"> S</w:t>
      </w:r>
      <w:r w:rsidR="00000A39" w:rsidRPr="008A2060">
        <w:rPr>
          <w:rFonts w:cs="Times"/>
          <w:noProof/>
          <w:szCs w:val="24"/>
        </w:rPr>
        <w:t>tudy of the</w:t>
      </w:r>
      <w:r w:rsidRPr="008A2060">
        <w:rPr>
          <w:rFonts w:cs="Times"/>
          <w:noProof/>
          <w:szCs w:val="24"/>
        </w:rPr>
        <w:t xml:space="preserve"> C</w:t>
      </w:r>
      <w:r w:rsidR="00000A39" w:rsidRPr="008A2060">
        <w:rPr>
          <w:rFonts w:cs="Times"/>
          <w:noProof/>
          <w:szCs w:val="24"/>
        </w:rPr>
        <w:t>onformations of</w:t>
      </w:r>
      <w:r w:rsidRPr="008A2060">
        <w:rPr>
          <w:rFonts w:cs="Times"/>
          <w:noProof/>
          <w:szCs w:val="24"/>
        </w:rPr>
        <w:t xml:space="preserve"> T</w:t>
      </w:r>
      <w:r w:rsidR="00000A39" w:rsidRPr="008A2060">
        <w:rPr>
          <w:rFonts w:cs="Times"/>
          <w:noProof/>
          <w:szCs w:val="24"/>
        </w:rPr>
        <w:t>riosmium</w:t>
      </w:r>
      <w:r w:rsidRPr="008A2060">
        <w:rPr>
          <w:rFonts w:cs="Times"/>
          <w:noProof/>
          <w:szCs w:val="24"/>
        </w:rPr>
        <w:t xml:space="preserve"> C</w:t>
      </w:r>
      <w:r w:rsidR="00000A39" w:rsidRPr="008A2060">
        <w:rPr>
          <w:rFonts w:cs="Times"/>
          <w:noProof/>
          <w:szCs w:val="24"/>
        </w:rPr>
        <w:t>lusters with a</w:t>
      </w:r>
      <w:r w:rsidRPr="008A2060">
        <w:rPr>
          <w:rFonts w:cs="Times"/>
          <w:noProof/>
          <w:szCs w:val="24"/>
        </w:rPr>
        <w:t xml:space="preserve"> C</w:t>
      </w:r>
      <w:r w:rsidR="00000A39" w:rsidRPr="008A2060">
        <w:rPr>
          <w:rFonts w:cs="Times"/>
          <w:noProof/>
          <w:szCs w:val="24"/>
        </w:rPr>
        <w:t>hiral</w:t>
      </w:r>
      <w:r w:rsidRPr="008A2060">
        <w:rPr>
          <w:rFonts w:cs="Times"/>
          <w:noProof/>
          <w:szCs w:val="24"/>
        </w:rPr>
        <w:t xml:space="preserve"> </w:t>
      </w:r>
      <w:r w:rsidRPr="00400A92">
        <w:rPr>
          <w:rFonts w:cs="Times"/>
          <w:noProof/>
          <w:szCs w:val="24"/>
        </w:rPr>
        <w:t>C</w:t>
      </w:r>
      <w:r w:rsidR="00000A39" w:rsidRPr="00400A92">
        <w:rPr>
          <w:rFonts w:cs="Times"/>
          <w:noProof/>
          <w:szCs w:val="24"/>
        </w:rPr>
        <w:t>arane</w:t>
      </w:r>
      <w:r w:rsidRPr="008A2060">
        <w:rPr>
          <w:rFonts w:cs="Times"/>
          <w:noProof/>
          <w:szCs w:val="24"/>
        </w:rPr>
        <w:t xml:space="preserve"> L</w:t>
      </w:r>
      <w:r w:rsidR="00000A39" w:rsidRPr="008A2060">
        <w:rPr>
          <w:rFonts w:cs="Times"/>
          <w:noProof/>
          <w:szCs w:val="24"/>
        </w:rPr>
        <w:t>igand</w:t>
      </w:r>
      <w:r w:rsidRPr="008A2060">
        <w:rPr>
          <w:rFonts w:cs="Times"/>
          <w:noProof/>
          <w:szCs w:val="24"/>
        </w:rPr>
        <w:t xml:space="preserve">. </w:t>
      </w:r>
      <w:r w:rsidRPr="008A2060">
        <w:rPr>
          <w:rFonts w:cs="Times"/>
          <w:i/>
          <w:iCs/>
          <w:noProof/>
          <w:szCs w:val="24"/>
        </w:rPr>
        <w:t>J. Struct. Chem.</w:t>
      </w:r>
      <w:r w:rsidRPr="008A2060">
        <w:rPr>
          <w:rFonts w:cs="Times"/>
          <w:noProof/>
          <w:szCs w:val="24"/>
        </w:rPr>
        <w:t xml:space="preserve"> </w:t>
      </w:r>
      <w:r w:rsidRPr="008A2060">
        <w:rPr>
          <w:rFonts w:cs="Times"/>
          <w:b/>
          <w:bCs/>
          <w:noProof/>
          <w:szCs w:val="24"/>
        </w:rPr>
        <w:t>2004</w:t>
      </w:r>
      <w:r w:rsidRPr="008A2060">
        <w:rPr>
          <w:rFonts w:cs="Times"/>
          <w:noProof/>
          <w:szCs w:val="24"/>
        </w:rPr>
        <w:t xml:space="preserve">, </w:t>
      </w:r>
      <w:r w:rsidRPr="008A2060">
        <w:rPr>
          <w:rFonts w:cs="Times"/>
          <w:i/>
          <w:iCs/>
          <w:noProof/>
          <w:szCs w:val="24"/>
        </w:rPr>
        <w:t>45</w:t>
      </w:r>
      <w:r w:rsidRPr="008A2060">
        <w:rPr>
          <w:rFonts w:cs="Times"/>
          <w:noProof/>
          <w:szCs w:val="24"/>
        </w:rPr>
        <w:t xml:space="preserve"> (3), 405–409.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(56) </w:t>
      </w:r>
      <w:r w:rsidRPr="008A2060">
        <w:rPr>
          <w:rFonts w:cs="Times"/>
          <w:noProof/>
          <w:szCs w:val="24"/>
        </w:rPr>
        <w:tab/>
        <w:t xml:space="preserve">Potemkin, </w:t>
      </w:r>
      <w:r w:rsidR="00000A39" w:rsidRPr="008A2060">
        <w:rPr>
          <w:rFonts w:cs="Times"/>
          <w:noProof/>
          <w:szCs w:val="24"/>
        </w:rPr>
        <w:t>V. A.</w:t>
      </w:r>
      <w:r w:rsidR="00000A39">
        <w:rPr>
          <w:rFonts w:cs="Times"/>
          <w:noProof/>
          <w:szCs w:val="24"/>
        </w:rPr>
        <w:t>; Maksakov,</w:t>
      </w:r>
      <w:r w:rsidRPr="008A2060">
        <w:rPr>
          <w:rFonts w:cs="Times"/>
          <w:noProof/>
          <w:szCs w:val="24"/>
        </w:rPr>
        <w:t xml:space="preserve"> </w:t>
      </w:r>
      <w:r w:rsidR="00000A39" w:rsidRPr="008A2060">
        <w:rPr>
          <w:rFonts w:cs="Times"/>
          <w:noProof/>
          <w:szCs w:val="24"/>
        </w:rPr>
        <w:t>V. A.</w:t>
      </w:r>
      <w:r w:rsidR="00000A39">
        <w:rPr>
          <w:rFonts w:cs="Times"/>
          <w:noProof/>
          <w:szCs w:val="24"/>
        </w:rPr>
        <w:t>; Korenev,</w:t>
      </w:r>
      <w:r w:rsidRPr="008A2060">
        <w:rPr>
          <w:rFonts w:cs="Times"/>
          <w:noProof/>
          <w:szCs w:val="24"/>
        </w:rPr>
        <w:t xml:space="preserve"> </w:t>
      </w:r>
      <w:r w:rsidR="00000A39" w:rsidRPr="008A2060">
        <w:rPr>
          <w:rFonts w:cs="Times"/>
          <w:noProof/>
          <w:szCs w:val="24"/>
        </w:rPr>
        <w:t>V. S.</w:t>
      </w:r>
      <w:r w:rsidR="00000A39">
        <w:rPr>
          <w:rFonts w:cs="Times"/>
          <w:noProof/>
          <w:szCs w:val="24"/>
        </w:rPr>
        <w:t xml:space="preserve"> </w:t>
      </w:r>
      <w:r w:rsidRPr="008A2060">
        <w:rPr>
          <w:rFonts w:cs="Times"/>
          <w:noProof/>
          <w:szCs w:val="24"/>
        </w:rPr>
        <w:t>T</w:t>
      </w:r>
      <w:r w:rsidR="00000A39" w:rsidRPr="008A2060">
        <w:rPr>
          <w:rFonts w:cs="Times"/>
          <w:noProof/>
          <w:szCs w:val="24"/>
        </w:rPr>
        <w:t>heoretical</w:t>
      </w:r>
      <w:r w:rsidRPr="008A2060">
        <w:rPr>
          <w:rFonts w:cs="Times"/>
          <w:noProof/>
          <w:szCs w:val="24"/>
        </w:rPr>
        <w:t xml:space="preserve"> S</w:t>
      </w:r>
      <w:r w:rsidR="00000A39" w:rsidRPr="008A2060">
        <w:rPr>
          <w:rFonts w:cs="Times"/>
          <w:noProof/>
          <w:szCs w:val="24"/>
        </w:rPr>
        <w:t>tudy</w:t>
      </w:r>
      <w:r w:rsidRPr="008A2060">
        <w:rPr>
          <w:rFonts w:cs="Times"/>
          <w:noProof/>
          <w:szCs w:val="24"/>
        </w:rPr>
        <w:t xml:space="preserve"> </w:t>
      </w:r>
      <w:r w:rsidR="00000A39" w:rsidRPr="008A2060">
        <w:rPr>
          <w:rFonts w:cs="Times"/>
          <w:noProof/>
          <w:szCs w:val="24"/>
        </w:rPr>
        <w:t>of the</w:t>
      </w:r>
      <w:r w:rsidRPr="008A2060">
        <w:rPr>
          <w:rFonts w:cs="Times"/>
          <w:noProof/>
          <w:szCs w:val="24"/>
        </w:rPr>
        <w:t xml:space="preserve"> C</w:t>
      </w:r>
      <w:r w:rsidR="00000A39" w:rsidRPr="008A2060">
        <w:rPr>
          <w:rFonts w:cs="Times"/>
          <w:noProof/>
          <w:szCs w:val="24"/>
        </w:rPr>
        <w:t>onformational</w:t>
      </w:r>
      <w:r w:rsidRPr="008A2060">
        <w:rPr>
          <w:rFonts w:cs="Times"/>
          <w:noProof/>
          <w:szCs w:val="24"/>
        </w:rPr>
        <w:t xml:space="preserve"> S</w:t>
      </w:r>
      <w:r w:rsidR="00000A39" w:rsidRPr="008A2060">
        <w:rPr>
          <w:rFonts w:cs="Times"/>
          <w:noProof/>
          <w:szCs w:val="24"/>
        </w:rPr>
        <w:t xml:space="preserve">tates of </w:t>
      </w:r>
      <w:r w:rsidRPr="008A2060">
        <w:rPr>
          <w:rFonts w:cs="Times"/>
          <w:noProof/>
          <w:szCs w:val="24"/>
        </w:rPr>
        <w:t>T</w:t>
      </w:r>
      <w:r w:rsidR="00000A39" w:rsidRPr="008A2060">
        <w:rPr>
          <w:rFonts w:cs="Times"/>
          <w:noProof/>
          <w:szCs w:val="24"/>
        </w:rPr>
        <w:t>riosmium</w:t>
      </w:r>
      <w:r w:rsidRPr="008A2060">
        <w:rPr>
          <w:rFonts w:cs="Times"/>
          <w:noProof/>
          <w:szCs w:val="24"/>
        </w:rPr>
        <w:t xml:space="preserve"> C</w:t>
      </w:r>
      <w:r w:rsidR="00000A39" w:rsidRPr="008A2060">
        <w:rPr>
          <w:rFonts w:cs="Times"/>
          <w:noProof/>
          <w:szCs w:val="24"/>
        </w:rPr>
        <w:t>lusters with a</w:t>
      </w:r>
      <w:r w:rsidRPr="008A2060">
        <w:rPr>
          <w:rFonts w:cs="Times"/>
          <w:noProof/>
          <w:szCs w:val="24"/>
        </w:rPr>
        <w:t xml:space="preserve"> C</w:t>
      </w:r>
      <w:r w:rsidR="00000A39" w:rsidRPr="008A2060">
        <w:rPr>
          <w:rFonts w:cs="Times"/>
          <w:noProof/>
          <w:szCs w:val="24"/>
        </w:rPr>
        <w:t>hiral</w:t>
      </w:r>
      <w:r w:rsidRPr="008A2060">
        <w:rPr>
          <w:rFonts w:cs="Times"/>
          <w:noProof/>
          <w:szCs w:val="24"/>
        </w:rPr>
        <w:t xml:space="preserve"> P</w:t>
      </w:r>
      <w:r w:rsidR="00000A39" w:rsidRPr="008A2060">
        <w:rPr>
          <w:rFonts w:cs="Times"/>
          <w:noProof/>
          <w:szCs w:val="24"/>
        </w:rPr>
        <w:t>inane</w:t>
      </w:r>
      <w:r w:rsidRPr="008A2060">
        <w:rPr>
          <w:rFonts w:cs="Times"/>
          <w:noProof/>
          <w:szCs w:val="24"/>
        </w:rPr>
        <w:t xml:space="preserve"> L</w:t>
      </w:r>
      <w:r w:rsidR="00000A39" w:rsidRPr="008A2060">
        <w:rPr>
          <w:rFonts w:cs="Times"/>
          <w:noProof/>
          <w:szCs w:val="24"/>
        </w:rPr>
        <w:t>igand</w:t>
      </w:r>
      <w:r w:rsidRPr="008A2060">
        <w:rPr>
          <w:rFonts w:cs="Times"/>
          <w:noProof/>
          <w:szCs w:val="24"/>
        </w:rPr>
        <w:t xml:space="preserve">. </w:t>
      </w:r>
      <w:r w:rsidRPr="008A2060">
        <w:rPr>
          <w:rFonts w:cs="Times"/>
          <w:b/>
          <w:bCs/>
          <w:noProof/>
          <w:szCs w:val="24"/>
        </w:rPr>
        <w:t>2005</w:t>
      </w:r>
      <w:r w:rsidRPr="008A2060">
        <w:rPr>
          <w:rFonts w:cs="Times"/>
          <w:noProof/>
          <w:szCs w:val="24"/>
        </w:rPr>
        <w:t xml:space="preserve">, </w:t>
      </w:r>
      <w:r w:rsidRPr="008A2060">
        <w:rPr>
          <w:rFonts w:cs="Times"/>
          <w:i/>
          <w:iCs/>
          <w:noProof/>
          <w:szCs w:val="24"/>
        </w:rPr>
        <w:t>46</w:t>
      </w:r>
      <w:r w:rsidRPr="008A2060">
        <w:rPr>
          <w:rFonts w:cs="Times"/>
          <w:noProof/>
          <w:szCs w:val="24"/>
        </w:rPr>
        <w:t xml:space="preserve"> (1), 43–48.</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(57) </w:t>
      </w:r>
      <w:r w:rsidRPr="008A2060">
        <w:rPr>
          <w:rFonts w:cs="Times"/>
          <w:noProof/>
          <w:szCs w:val="24"/>
        </w:rPr>
        <w:tab/>
        <w:t xml:space="preserve">Sukharev, </w:t>
      </w:r>
      <w:r w:rsidR="006409EF" w:rsidRPr="008A2060">
        <w:rPr>
          <w:rFonts w:cs="Times"/>
          <w:noProof/>
          <w:szCs w:val="24"/>
        </w:rPr>
        <w:t>Yu. I.</w:t>
      </w:r>
      <w:r w:rsidR="006409EF">
        <w:rPr>
          <w:rFonts w:cs="Times"/>
          <w:noProof/>
          <w:szCs w:val="24"/>
        </w:rPr>
        <w:t xml:space="preserve">; </w:t>
      </w:r>
      <w:r w:rsidRPr="008A2060">
        <w:rPr>
          <w:rFonts w:cs="Times"/>
          <w:noProof/>
          <w:szCs w:val="24"/>
        </w:rPr>
        <w:t xml:space="preserve">Avdin, </w:t>
      </w:r>
      <w:r w:rsidR="006409EF" w:rsidRPr="008A2060">
        <w:rPr>
          <w:rFonts w:cs="Times"/>
          <w:noProof/>
          <w:szCs w:val="24"/>
        </w:rPr>
        <w:t>V. V.</w:t>
      </w:r>
      <w:r w:rsidR="006409EF">
        <w:rPr>
          <w:rFonts w:cs="Times"/>
          <w:noProof/>
          <w:szCs w:val="24"/>
        </w:rPr>
        <w:t xml:space="preserve">; </w:t>
      </w:r>
      <w:r w:rsidRPr="008A2060">
        <w:rPr>
          <w:rFonts w:cs="Times"/>
          <w:noProof/>
          <w:szCs w:val="24"/>
        </w:rPr>
        <w:t xml:space="preserve">Lymar, </w:t>
      </w:r>
      <w:r w:rsidR="006409EF" w:rsidRPr="008A2060">
        <w:rPr>
          <w:rFonts w:cs="Times"/>
          <w:noProof/>
          <w:szCs w:val="24"/>
        </w:rPr>
        <w:t>A. A.</w:t>
      </w:r>
      <w:r w:rsidR="006409EF">
        <w:rPr>
          <w:rFonts w:cs="Times"/>
          <w:noProof/>
          <w:szCs w:val="24"/>
        </w:rPr>
        <w:t xml:space="preserve">; </w:t>
      </w:r>
      <w:r w:rsidRPr="008A2060">
        <w:rPr>
          <w:rFonts w:cs="Times"/>
          <w:noProof/>
          <w:szCs w:val="24"/>
        </w:rPr>
        <w:t xml:space="preserve">Belkanova, </w:t>
      </w:r>
      <w:r w:rsidR="006409EF" w:rsidRPr="008A2060">
        <w:rPr>
          <w:rFonts w:cs="Times"/>
          <w:noProof/>
          <w:szCs w:val="24"/>
        </w:rPr>
        <w:t>M. Yu.</w:t>
      </w:r>
      <w:r w:rsidR="006409EF">
        <w:rPr>
          <w:rFonts w:cs="Times"/>
          <w:noProof/>
          <w:szCs w:val="24"/>
        </w:rPr>
        <w:t>;</w:t>
      </w:r>
      <w:r w:rsidR="006409EF" w:rsidRPr="008A2060">
        <w:rPr>
          <w:rFonts w:cs="Times"/>
          <w:noProof/>
          <w:szCs w:val="24"/>
        </w:rPr>
        <w:t xml:space="preserve"> </w:t>
      </w:r>
      <w:r w:rsidR="006409EF">
        <w:rPr>
          <w:rFonts w:cs="Times"/>
          <w:noProof/>
          <w:szCs w:val="24"/>
        </w:rPr>
        <w:t>Potemkin,</w:t>
      </w:r>
      <w:r w:rsidRPr="008A2060">
        <w:rPr>
          <w:rFonts w:cs="Times"/>
          <w:noProof/>
          <w:szCs w:val="24"/>
        </w:rPr>
        <w:t xml:space="preserve"> </w:t>
      </w:r>
      <w:r w:rsidR="006409EF" w:rsidRPr="008A2060">
        <w:rPr>
          <w:rFonts w:cs="Times"/>
          <w:noProof/>
          <w:szCs w:val="24"/>
        </w:rPr>
        <w:t>V. A.</w:t>
      </w:r>
      <w:r w:rsidR="006409EF">
        <w:rPr>
          <w:rFonts w:cs="Times"/>
          <w:noProof/>
          <w:szCs w:val="24"/>
        </w:rPr>
        <w:t xml:space="preserve"> </w:t>
      </w:r>
      <w:r w:rsidRPr="008A2060">
        <w:rPr>
          <w:rFonts w:cs="Times"/>
          <w:noProof/>
          <w:szCs w:val="24"/>
        </w:rPr>
        <w:t>D</w:t>
      </w:r>
      <w:r w:rsidR="006409EF" w:rsidRPr="008A2060">
        <w:rPr>
          <w:rFonts w:cs="Times"/>
          <w:noProof/>
          <w:szCs w:val="24"/>
        </w:rPr>
        <w:t>irections in</w:t>
      </w:r>
      <w:r w:rsidRPr="008A2060">
        <w:rPr>
          <w:rFonts w:cs="Times"/>
          <w:noProof/>
          <w:szCs w:val="24"/>
        </w:rPr>
        <w:t xml:space="preserve"> S</w:t>
      </w:r>
      <w:r w:rsidR="006409EF" w:rsidRPr="008A2060">
        <w:rPr>
          <w:rFonts w:cs="Times"/>
          <w:noProof/>
          <w:szCs w:val="24"/>
        </w:rPr>
        <w:t>tructure</w:t>
      </w:r>
      <w:r w:rsidRPr="008A2060">
        <w:rPr>
          <w:rFonts w:cs="Times"/>
          <w:noProof/>
          <w:szCs w:val="24"/>
        </w:rPr>
        <w:t xml:space="preserve"> F</w:t>
      </w:r>
      <w:r w:rsidR="006409EF" w:rsidRPr="008A2060">
        <w:rPr>
          <w:rFonts w:cs="Times"/>
          <w:noProof/>
          <w:szCs w:val="24"/>
        </w:rPr>
        <w:t>ormation of</w:t>
      </w:r>
      <w:r w:rsidRPr="008A2060">
        <w:rPr>
          <w:rFonts w:cs="Times"/>
          <w:noProof/>
          <w:szCs w:val="24"/>
        </w:rPr>
        <w:t xml:space="preserve"> </w:t>
      </w:r>
      <w:r w:rsidRPr="00400A92">
        <w:rPr>
          <w:rFonts w:cs="Times"/>
          <w:noProof/>
          <w:szCs w:val="24"/>
        </w:rPr>
        <w:t>O</w:t>
      </w:r>
      <w:r w:rsidR="006409EF" w:rsidRPr="00400A92">
        <w:rPr>
          <w:rFonts w:cs="Times"/>
          <w:noProof/>
          <w:szCs w:val="24"/>
        </w:rPr>
        <w:t>xyhydrate</w:t>
      </w:r>
      <w:r w:rsidRPr="008A2060">
        <w:rPr>
          <w:rFonts w:cs="Times"/>
          <w:noProof/>
          <w:szCs w:val="24"/>
        </w:rPr>
        <w:t xml:space="preserve"> G</w:t>
      </w:r>
      <w:r w:rsidR="006409EF" w:rsidRPr="008A2060">
        <w:rPr>
          <w:rFonts w:cs="Times"/>
          <w:noProof/>
          <w:szCs w:val="24"/>
        </w:rPr>
        <w:t>els of</w:t>
      </w:r>
      <w:r w:rsidRPr="008A2060">
        <w:rPr>
          <w:rFonts w:cs="Times"/>
          <w:noProof/>
          <w:szCs w:val="24"/>
        </w:rPr>
        <w:t xml:space="preserve"> Z</w:t>
      </w:r>
      <w:r w:rsidR="006409EF" w:rsidRPr="008A2060">
        <w:rPr>
          <w:rFonts w:cs="Times"/>
          <w:noProof/>
          <w:szCs w:val="24"/>
        </w:rPr>
        <w:t>irconium and</w:t>
      </w:r>
      <w:r w:rsidRPr="008A2060">
        <w:rPr>
          <w:rFonts w:cs="Times"/>
          <w:noProof/>
          <w:szCs w:val="24"/>
        </w:rPr>
        <w:t xml:space="preserve"> R</w:t>
      </w:r>
      <w:r w:rsidR="006409EF" w:rsidRPr="008A2060">
        <w:rPr>
          <w:rFonts w:cs="Times"/>
          <w:noProof/>
          <w:szCs w:val="24"/>
        </w:rPr>
        <w:t>are</w:t>
      </w:r>
      <w:r w:rsidRPr="008A2060">
        <w:rPr>
          <w:rFonts w:cs="Times"/>
          <w:noProof/>
          <w:szCs w:val="24"/>
        </w:rPr>
        <w:t xml:space="preserve"> E</w:t>
      </w:r>
      <w:r w:rsidR="006409EF" w:rsidRPr="008A2060">
        <w:rPr>
          <w:rFonts w:cs="Times"/>
          <w:noProof/>
          <w:szCs w:val="24"/>
        </w:rPr>
        <w:t>arth</w:t>
      </w:r>
      <w:r w:rsidRPr="008A2060">
        <w:rPr>
          <w:rFonts w:cs="Times"/>
          <w:noProof/>
          <w:szCs w:val="24"/>
        </w:rPr>
        <w:t xml:space="preserve"> E</w:t>
      </w:r>
      <w:r w:rsidR="006409EF" w:rsidRPr="008A2060">
        <w:rPr>
          <w:rFonts w:cs="Times"/>
          <w:noProof/>
          <w:szCs w:val="24"/>
        </w:rPr>
        <w:t>lements</w:t>
      </w:r>
      <w:r w:rsidRPr="008A2060">
        <w:rPr>
          <w:rFonts w:cs="Times"/>
          <w:noProof/>
          <w:szCs w:val="24"/>
        </w:rPr>
        <w:t xml:space="preserve">. </w:t>
      </w:r>
      <w:r w:rsidRPr="008A2060">
        <w:rPr>
          <w:rFonts w:cs="Times"/>
          <w:i/>
          <w:iCs/>
          <w:noProof/>
          <w:szCs w:val="24"/>
        </w:rPr>
        <w:t>J. Struct. Chem.</w:t>
      </w:r>
      <w:r w:rsidRPr="008A2060">
        <w:rPr>
          <w:rFonts w:cs="Times"/>
          <w:noProof/>
          <w:szCs w:val="24"/>
        </w:rPr>
        <w:t xml:space="preserve"> </w:t>
      </w:r>
      <w:r w:rsidRPr="008A2060">
        <w:rPr>
          <w:rFonts w:cs="Times"/>
          <w:b/>
          <w:bCs/>
          <w:noProof/>
          <w:szCs w:val="24"/>
        </w:rPr>
        <w:t>2006</w:t>
      </w:r>
      <w:r w:rsidRPr="008A2060">
        <w:rPr>
          <w:rFonts w:cs="Times"/>
          <w:noProof/>
          <w:szCs w:val="24"/>
        </w:rPr>
        <w:t xml:space="preserve">, </w:t>
      </w:r>
      <w:r w:rsidRPr="008A2060">
        <w:rPr>
          <w:rFonts w:cs="Times"/>
          <w:i/>
          <w:iCs/>
          <w:noProof/>
          <w:szCs w:val="24"/>
        </w:rPr>
        <w:t>47</w:t>
      </w:r>
      <w:r w:rsidRPr="008A2060">
        <w:rPr>
          <w:rFonts w:cs="Times"/>
          <w:noProof/>
          <w:szCs w:val="24"/>
        </w:rPr>
        <w:t xml:space="preserve"> (1), 151–155.</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(58) </w:t>
      </w:r>
      <w:r w:rsidRPr="008A2060">
        <w:rPr>
          <w:rFonts w:cs="Times"/>
          <w:noProof/>
          <w:szCs w:val="24"/>
        </w:rPr>
        <w:tab/>
        <w:t>Aladko, E. Y.; Ancharov, A. I.; Goryainov, S. V; Kurnosov, A. V; Larionov, E. G.; Likhacheva, A. Y.; Manakov, A. Y.; Potemkin, V. A.; Sheromov, M. A.; Teplykh, A. E.; et al. New Type of Phase Transformation in Gas Hydrate Forming System at High Pressures. Some Experimental and Computational Investigations of Clat</w:t>
      </w:r>
      <w:r w:rsidR="006409EF">
        <w:rPr>
          <w:rFonts w:cs="Times"/>
          <w:noProof/>
          <w:szCs w:val="24"/>
        </w:rPr>
        <w:t>hrate Hydrates Formed in the SF</w:t>
      </w:r>
      <w:r w:rsidRPr="006409EF">
        <w:rPr>
          <w:rFonts w:cs="Times"/>
          <w:noProof/>
          <w:szCs w:val="24"/>
          <w:vertAlign w:val="subscript"/>
        </w:rPr>
        <w:t>6</w:t>
      </w:r>
      <w:r w:rsidR="006409EF">
        <w:rPr>
          <w:rFonts w:cs="Times"/>
          <w:noProof/>
          <w:szCs w:val="24"/>
        </w:rPr>
        <w:t>-H</w:t>
      </w:r>
      <w:r w:rsidR="006409EF" w:rsidRPr="006409EF">
        <w:rPr>
          <w:rFonts w:cs="Times"/>
          <w:noProof/>
          <w:szCs w:val="24"/>
          <w:vertAlign w:val="subscript"/>
        </w:rPr>
        <w:t>2</w:t>
      </w:r>
      <w:r w:rsidRPr="008A2060">
        <w:rPr>
          <w:rFonts w:cs="Times"/>
          <w:noProof/>
          <w:szCs w:val="24"/>
        </w:rPr>
        <w:t xml:space="preserve">O System. </w:t>
      </w:r>
      <w:r w:rsidRPr="008A2060">
        <w:rPr>
          <w:rFonts w:cs="Times"/>
          <w:i/>
          <w:iCs/>
          <w:noProof/>
          <w:szCs w:val="24"/>
        </w:rPr>
        <w:t>J. Phys. Chem. B</w:t>
      </w:r>
      <w:r w:rsidRPr="008A2060">
        <w:rPr>
          <w:rFonts w:cs="Times"/>
          <w:noProof/>
          <w:szCs w:val="24"/>
        </w:rPr>
        <w:t xml:space="preserve"> </w:t>
      </w:r>
      <w:r w:rsidRPr="008A2060">
        <w:rPr>
          <w:rFonts w:cs="Times"/>
          <w:b/>
          <w:bCs/>
          <w:noProof/>
          <w:szCs w:val="24"/>
        </w:rPr>
        <w:t>2006</w:t>
      </w:r>
      <w:r w:rsidRPr="008A2060">
        <w:rPr>
          <w:rFonts w:cs="Times"/>
          <w:noProof/>
          <w:szCs w:val="24"/>
        </w:rPr>
        <w:t xml:space="preserve">, </w:t>
      </w:r>
      <w:r w:rsidRPr="008A2060">
        <w:rPr>
          <w:rFonts w:cs="Times"/>
          <w:i/>
          <w:iCs/>
          <w:noProof/>
          <w:szCs w:val="24"/>
        </w:rPr>
        <w:t>110</w:t>
      </w:r>
      <w:r w:rsidRPr="008A2060">
        <w:rPr>
          <w:rFonts w:cs="Times"/>
          <w:noProof/>
          <w:szCs w:val="24"/>
        </w:rPr>
        <w:t xml:space="preserve"> (42), 21371–21376.</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(59) </w:t>
      </w:r>
      <w:r w:rsidRPr="008A2060">
        <w:rPr>
          <w:rFonts w:cs="Times"/>
          <w:noProof/>
          <w:szCs w:val="24"/>
        </w:rPr>
        <w:tab/>
        <w:t xml:space="preserve">Grishina, </w:t>
      </w:r>
      <w:r w:rsidR="006409EF" w:rsidRPr="008A2060">
        <w:rPr>
          <w:rFonts w:cs="Times"/>
          <w:noProof/>
          <w:szCs w:val="24"/>
        </w:rPr>
        <w:t>M. A.</w:t>
      </w:r>
      <w:r w:rsidR="006409EF">
        <w:rPr>
          <w:rFonts w:cs="Times"/>
          <w:noProof/>
          <w:szCs w:val="24"/>
        </w:rPr>
        <w:t xml:space="preserve">; </w:t>
      </w:r>
      <w:r w:rsidRPr="008A2060">
        <w:rPr>
          <w:rFonts w:cs="Times"/>
          <w:noProof/>
          <w:szCs w:val="24"/>
        </w:rPr>
        <w:t xml:space="preserve">Potemkin, </w:t>
      </w:r>
      <w:r w:rsidR="006409EF" w:rsidRPr="008A2060">
        <w:rPr>
          <w:rFonts w:cs="Times"/>
          <w:noProof/>
          <w:szCs w:val="24"/>
        </w:rPr>
        <w:t>V. A.</w:t>
      </w:r>
      <w:r w:rsidR="006409EF">
        <w:rPr>
          <w:rFonts w:cs="Times"/>
          <w:noProof/>
          <w:szCs w:val="24"/>
        </w:rPr>
        <w:t xml:space="preserve">; </w:t>
      </w:r>
      <w:r w:rsidRPr="008A2060">
        <w:rPr>
          <w:rFonts w:cs="Times"/>
          <w:noProof/>
          <w:szCs w:val="24"/>
        </w:rPr>
        <w:t xml:space="preserve">Bartashevich, </w:t>
      </w:r>
      <w:r w:rsidR="006409EF" w:rsidRPr="008A2060">
        <w:rPr>
          <w:rFonts w:cs="Times"/>
          <w:noProof/>
          <w:szCs w:val="24"/>
        </w:rPr>
        <w:t>E. V.</w:t>
      </w:r>
      <w:r w:rsidR="006409EF">
        <w:rPr>
          <w:rFonts w:cs="Times"/>
          <w:noProof/>
          <w:szCs w:val="24"/>
        </w:rPr>
        <w:t xml:space="preserve">; </w:t>
      </w:r>
      <w:r w:rsidRPr="00400A92">
        <w:rPr>
          <w:rFonts w:cs="Times"/>
          <w:noProof/>
          <w:szCs w:val="24"/>
        </w:rPr>
        <w:t>Sinyaev</w:t>
      </w:r>
      <w:r w:rsidRPr="008A2060">
        <w:rPr>
          <w:rFonts w:cs="Times"/>
          <w:noProof/>
          <w:szCs w:val="24"/>
        </w:rPr>
        <w:t xml:space="preserve">, </w:t>
      </w:r>
      <w:r w:rsidR="006409EF" w:rsidRPr="008A2060">
        <w:rPr>
          <w:rFonts w:cs="Times"/>
          <w:noProof/>
          <w:szCs w:val="24"/>
        </w:rPr>
        <w:t>A. N.</w:t>
      </w:r>
      <w:r w:rsidR="006409EF">
        <w:rPr>
          <w:rFonts w:cs="Times"/>
          <w:noProof/>
          <w:szCs w:val="24"/>
        </w:rPr>
        <w:t xml:space="preserve">; </w:t>
      </w:r>
      <w:r w:rsidRPr="008A2060">
        <w:rPr>
          <w:rFonts w:cs="Times"/>
          <w:noProof/>
          <w:szCs w:val="24"/>
        </w:rPr>
        <w:t xml:space="preserve">Rusinov, </w:t>
      </w:r>
      <w:r w:rsidR="006409EF" w:rsidRPr="008A2060">
        <w:rPr>
          <w:rFonts w:cs="Times"/>
          <w:noProof/>
          <w:szCs w:val="24"/>
        </w:rPr>
        <w:t>G. L.</w:t>
      </w:r>
      <w:r w:rsidR="006409EF">
        <w:rPr>
          <w:rFonts w:cs="Times"/>
          <w:noProof/>
          <w:szCs w:val="24"/>
        </w:rPr>
        <w:t xml:space="preserve">; </w:t>
      </w:r>
      <w:r w:rsidRPr="00400A92">
        <w:rPr>
          <w:rFonts w:cs="Times"/>
          <w:noProof/>
          <w:szCs w:val="24"/>
        </w:rPr>
        <w:t>Latosh</w:t>
      </w:r>
      <w:r w:rsidRPr="008A2060">
        <w:rPr>
          <w:rFonts w:cs="Times"/>
          <w:noProof/>
          <w:szCs w:val="24"/>
        </w:rPr>
        <w:t xml:space="preserve">, </w:t>
      </w:r>
      <w:r w:rsidR="006409EF" w:rsidRPr="008A2060">
        <w:rPr>
          <w:rFonts w:cs="Times"/>
          <w:noProof/>
          <w:szCs w:val="24"/>
        </w:rPr>
        <w:t>N. I.</w:t>
      </w:r>
      <w:r w:rsidR="006409EF">
        <w:rPr>
          <w:rFonts w:cs="Times"/>
          <w:noProof/>
          <w:szCs w:val="24"/>
        </w:rPr>
        <w:t xml:space="preserve">; </w:t>
      </w:r>
      <w:r w:rsidRPr="008A2060">
        <w:rPr>
          <w:rFonts w:cs="Times"/>
          <w:noProof/>
          <w:szCs w:val="24"/>
        </w:rPr>
        <w:t xml:space="preserve">Ganebnykh, </w:t>
      </w:r>
      <w:r w:rsidR="006409EF" w:rsidRPr="008A2060">
        <w:rPr>
          <w:rFonts w:cs="Times"/>
          <w:noProof/>
          <w:szCs w:val="24"/>
        </w:rPr>
        <w:t>I. N.</w:t>
      </w:r>
      <w:r w:rsidR="006409EF">
        <w:rPr>
          <w:rFonts w:cs="Times"/>
          <w:noProof/>
          <w:szCs w:val="24"/>
        </w:rPr>
        <w:t xml:space="preserve">; </w:t>
      </w:r>
      <w:r w:rsidRPr="008A2060">
        <w:rPr>
          <w:rFonts w:cs="Times"/>
          <w:noProof/>
          <w:szCs w:val="24"/>
        </w:rPr>
        <w:t xml:space="preserve">Koryakova, </w:t>
      </w:r>
      <w:r w:rsidR="006409EF" w:rsidRPr="008A2060">
        <w:rPr>
          <w:rFonts w:cs="Times"/>
          <w:noProof/>
          <w:szCs w:val="24"/>
        </w:rPr>
        <w:t>O. V.</w:t>
      </w:r>
      <w:r w:rsidR="006409EF">
        <w:rPr>
          <w:rFonts w:cs="Times"/>
          <w:noProof/>
          <w:szCs w:val="24"/>
        </w:rPr>
        <w:t xml:space="preserve">; </w:t>
      </w:r>
      <w:r w:rsidR="006409EF" w:rsidRPr="00400A92">
        <w:rPr>
          <w:rFonts w:cs="Times"/>
          <w:noProof/>
          <w:szCs w:val="24"/>
        </w:rPr>
        <w:t>Ishmetova</w:t>
      </w:r>
      <w:r w:rsidR="006409EF">
        <w:rPr>
          <w:rFonts w:cs="Times"/>
          <w:noProof/>
          <w:szCs w:val="24"/>
        </w:rPr>
        <w:t>,</w:t>
      </w:r>
      <w:r w:rsidRPr="008A2060">
        <w:rPr>
          <w:rFonts w:cs="Times"/>
          <w:noProof/>
          <w:szCs w:val="24"/>
        </w:rPr>
        <w:t xml:space="preserve"> </w:t>
      </w:r>
      <w:r w:rsidR="006409EF" w:rsidRPr="008A2060">
        <w:rPr>
          <w:rFonts w:cs="Times"/>
          <w:noProof/>
          <w:szCs w:val="24"/>
        </w:rPr>
        <w:t>R. I.</w:t>
      </w:r>
      <w:r w:rsidR="006409EF">
        <w:rPr>
          <w:rFonts w:cs="Times"/>
          <w:noProof/>
          <w:szCs w:val="24"/>
        </w:rPr>
        <w:t xml:space="preserve"> Modeling of 1,2,4,5-Tetrazine Complexes with Organic Amines.</w:t>
      </w:r>
      <w:r w:rsidRPr="008A2060">
        <w:rPr>
          <w:rFonts w:cs="Times"/>
          <w:noProof/>
          <w:szCs w:val="24"/>
        </w:rPr>
        <w:t xml:space="preserve"> </w:t>
      </w:r>
      <w:r w:rsidRPr="008A2060">
        <w:rPr>
          <w:rFonts w:cs="Times"/>
          <w:i/>
          <w:iCs/>
          <w:noProof/>
          <w:szCs w:val="24"/>
        </w:rPr>
        <w:t>J. Struct. Chem.</w:t>
      </w:r>
      <w:r w:rsidRPr="008A2060">
        <w:rPr>
          <w:rFonts w:cs="Times"/>
          <w:noProof/>
          <w:szCs w:val="24"/>
        </w:rPr>
        <w:t xml:space="preserve"> </w:t>
      </w:r>
      <w:r w:rsidRPr="008A2060">
        <w:rPr>
          <w:rFonts w:cs="Times"/>
          <w:b/>
          <w:bCs/>
          <w:noProof/>
          <w:szCs w:val="24"/>
        </w:rPr>
        <w:t>2006</w:t>
      </w:r>
      <w:r w:rsidRPr="008A2060">
        <w:rPr>
          <w:rFonts w:cs="Times"/>
          <w:noProof/>
          <w:szCs w:val="24"/>
        </w:rPr>
        <w:t xml:space="preserve">, </w:t>
      </w:r>
      <w:r w:rsidRPr="008A2060">
        <w:rPr>
          <w:rFonts w:cs="Times"/>
          <w:i/>
          <w:iCs/>
          <w:noProof/>
          <w:szCs w:val="24"/>
        </w:rPr>
        <w:t>47</w:t>
      </w:r>
      <w:r w:rsidRPr="008A2060">
        <w:rPr>
          <w:rFonts w:cs="Times"/>
          <w:noProof/>
          <w:szCs w:val="24"/>
        </w:rPr>
        <w:t xml:space="preserve"> (6), 1155–1160.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(60) </w:t>
      </w:r>
      <w:r w:rsidRPr="008A2060">
        <w:rPr>
          <w:rFonts w:cs="Times"/>
          <w:noProof/>
          <w:szCs w:val="24"/>
        </w:rPr>
        <w:tab/>
        <w:t xml:space="preserve">Potemkin, </w:t>
      </w:r>
      <w:r w:rsidR="003034B7" w:rsidRPr="008A2060">
        <w:rPr>
          <w:rFonts w:cs="Times"/>
          <w:noProof/>
          <w:szCs w:val="24"/>
        </w:rPr>
        <w:t>V. A.</w:t>
      </w:r>
      <w:r w:rsidR="003034B7">
        <w:rPr>
          <w:rFonts w:cs="Times"/>
          <w:noProof/>
          <w:szCs w:val="24"/>
        </w:rPr>
        <w:t xml:space="preserve">; </w:t>
      </w:r>
      <w:r w:rsidRPr="008A2060">
        <w:rPr>
          <w:rFonts w:cs="Times"/>
          <w:noProof/>
          <w:szCs w:val="24"/>
        </w:rPr>
        <w:t xml:space="preserve">Maksakov, </w:t>
      </w:r>
      <w:r w:rsidR="003034B7" w:rsidRPr="008A2060">
        <w:rPr>
          <w:rFonts w:cs="Times"/>
          <w:noProof/>
          <w:szCs w:val="24"/>
        </w:rPr>
        <w:t>V. A.</w:t>
      </w:r>
      <w:r w:rsidR="003034B7">
        <w:rPr>
          <w:rFonts w:cs="Times"/>
          <w:noProof/>
          <w:szCs w:val="24"/>
        </w:rPr>
        <w:t>; Korenev,</w:t>
      </w:r>
      <w:r w:rsidRPr="008A2060">
        <w:rPr>
          <w:rFonts w:cs="Times"/>
          <w:noProof/>
          <w:szCs w:val="24"/>
        </w:rPr>
        <w:t xml:space="preserve"> </w:t>
      </w:r>
      <w:r w:rsidR="003034B7" w:rsidRPr="008A2060">
        <w:rPr>
          <w:rFonts w:cs="Times"/>
          <w:noProof/>
          <w:szCs w:val="24"/>
        </w:rPr>
        <w:t>V. S.</w:t>
      </w:r>
      <w:r w:rsidR="003034B7">
        <w:rPr>
          <w:rFonts w:cs="Times"/>
          <w:noProof/>
          <w:szCs w:val="24"/>
        </w:rPr>
        <w:t xml:space="preserve"> </w:t>
      </w:r>
      <w:r w:rsidRPr="008A2060">
        <w:rPr>
          <w:rFonts w:cs="Times"/>
          <w:noProof/>
          <w:szCs w:val="24"/>
        </w:rPr>
        <w:t>T</w:t>
      </w:r>
      <w:r w:rsidR="003034B7" w:rsidRPr="008A2060">
        <w:rPr>
          <w:rFonts w:cs="Times"/>
          <w:noProof/>
          <w:szCs w:val="24"/>
        </w:rPr>
        <w:t>heoretical</w:t>
      </w:r>
      <w:r w:rsidRPr="008A2060">
        <w:rPr>
          <w:rFonts w:cs="Times"/>
          <w:noProof/>
          <w:szCs w:val="24"/>
        </w:rPr>
        <w:t xml:space="preserve"> S</w:t>
      </w:r>
      <w:r w:rsidR="003034B7" w:rsidRPr="008A2060">
        <w:rPr>
          <w:rFonts w:cs="Times"/>
          <w:noProof/>
          <w:szCs w:val="24"/>
        </w:rPr>
        <w:t>tudy of the</w:t>
      </w:r>
      <w:r w:rsidRPr="008A2060">
        <w:rPr>
          <w:rFonts w:cs="Times"/>
          <w:noProof/>
          <w:szCs w:val="24"/>
        </w:rPr>
        <w:t xml:space="preserve"> C</w:t>
      </w:r>
      <w:r w:rsidR="003034B7" w:rsidRPr="008A2060">
        <w:rPr>
          <w:rFonts w:cs="Times"/>
          <w:noProof/>
          <w:szCs w:val="24"/>
        </w:rPr>
        <w:t>onformational</w:t>
      </w:r>
      <w:r w:rsidRPr="008A2060">
        <w:rPr>
          <w:rFonts w:cs="Times"/>
          <w:noProof/>
          <w:szCs w:val="24"/>
        </w:rPr>
        <w:t xml:space="preserve"> S</w:t>
      </w:r>
      <w:r w:rsidR="003034B7" w:rsidRPr="008A2060">
        <w:rPr>
          <w:rFonts w:cs="Times"/>
          <w:noProof/>
          <w:szCs w:val="24"/>
        </w:rPr>
        <w:t>tates of</w:t>
      </w:r>
      <w:r w:rsidRPr="008A2060">
        <w:rPr>
          <w:rFonts w:cs="Times"/>
          <w:noProof/>
          <w:szCs w:val="24"/>
        </w:rPr>
        <w:t xml:space="preserve"> T</w:t>
      </w:r>
      <w:r w:rsidR="003034B7" w:rsidRPr="008A2060">
        <w:rPr>
          <w:rFonts w:cs="Times"/>
          <w:noProof/>
          <w:szCs w:val="24"/>
        </w:rPr>
        <w:t>riosmium</w:t>
      </w:r>
      <w:r w:rsidRPr="008A2060">
        <w:rPr>
          <w:rFonts w:cs="Times"/>
          <w:noProof/>
          <w:szCs w:val="24"/>
        </w:rPr>
        <w:t xml:space="preserve"> C</w:t>
      </w:r>
      <w:r w:rsidR="003034B7" w:rsidRPr="008A2060">
        <w:rPr>
          <w:rFonts w:cs="Times"/>
          <w:noProof/>
          <w:szCs w:val="24"/>
        </w:rPr>
        <w:t>lusters with a</w:t>
      </w:r>
      <w:r w:rsidRPr="008A2060">
        <w:rPr>
          <w:rFonts w:cs="Times"/>
          <w:noProof/>
          <w:szCs w:val="24"/>
        </w:rPr>
        <w:t xml:space="preserve"> C</w:t>
      </w:r>
      <w:r w:rsidR="003034B7" w:rsidRPr="008A2060">
        <w:rPr>
          <w:rFonts w:cs="Times"/>
          <w:noProof/>
          <w:szCs w:val="24"/>
        </w:rPr>
        <w:t>hiral</w:t>
      </w:r>
      <w:r w:rsidRPr="008A2060">
        <w:rPr>
          <w:rFonts w:cs="Times"/>
          <w:noProof/>
          <w:szCs w:val="24"/>
        </w:rPr>
        <w:t> </w:t>
      </w:r>
      <w:r w:rsidR="003034B7">
        <w:rPr>
          <w:rFonts w:cs="Times"/>
          <w:noProof/>
          <w:szCs w:val="24"/>
        </w:rPr>
        <w:t>µ</w:t>
      </w:r>
      <w:r w:rsidRPr="008A2060">
        <w:rPr>
          <w:rFonts w:cs="Times"/>
          <w:noProof/>
          <w:szCs w:val="24"/>
        </w:rPr>
        <w:t>-1-NH P</w:t>
      </w:r>
      <w:r w:rsidR="003034B7" w:rsidRPr="008A2060">
        <w:rPr>
          <w:rFonts w:cs="Times"/>
          <w:noProof/>
          <w:szCs w:val="24"/>
        </w:rPr>
        <w:t>inane</w:t>
      </w:r>
      <w:r w:rsidRPr="008A2060">
        <w:rPr>
          <w:rFonts w:cs="Times"/>
          <w:noProof/>
          <w:szCs w:val="24"/>
        </w:rPr>
        <w:t xml:space="preserve"> L</w:t>
      </w:r>
      <w:r w:rsidR="003034B7" w:rsidRPr="008A2060">
        <w:rPr>
          <w:rFonts w:cs="Times"/>
          <w:noProof/>
          <w:szCs w:val="24"/>
        </w:rPr>
        <w:t>igand</w:t>
      </w:r>
      <w:r w:rsidRPr="008A2060">
        <w:rPr>
          <w:rFonts w:cs="Times"/>
          <w:noProof/>
          <w:szCs w:val="24"/>
        </w:rPr>
        <w:t>.</w:t>
      </w:r>
      <w:r w:rsidR="003034B7">
        <w:rPr>
          <w:rFonts w:cs="Times"/>
          <w:noProof/>
          <w:szCs w:val="24"/>
        </w:rPr>
        <w:t xml:space="preserve"> </w:t>
      </w:r>
      <w:r w:rsidR="003034B7" w:rsidRPr="008A2060">
        <w:rPr>
          <w:rFonts w:cs="Times"/>
          <w:i/>
          <w:iCs/>
          <w:noProof/>
          <w:szCs w:val="24"/>
        </w:rPr>
        <w:t>J. Struct. Chem.</w:t>
      </w:r>
      <w:r w:rsidRPr="008A2060">
        <w:rPr>
          <w:rFonts w:cs="Times"/>
          <w:noProof/>
          <w:szCs w:val="24"/>
        </w:rPr>
        <w:t xml:space="preserve"> </w:t>
      </w:r>
      <w:r w:rsidRPr="008A2060">
        <w:rPr>
          <w:rFonts w:cs="Times"/>
          <w:b/>
          <w:bCs/>
          <w:noProof/>
          <w:szCs w:val="24"/>
        </w:rPr>
        <w:t>2007</w:t>
      </w:r>
      <w:r w:rsidRPr="008A2060">
        <w:rPr>
          <w:rFonts w:cs="Times"/>
          <w:noProof/>
          <w:szCs w:val="24"/>
        </w:rPr>
        <w:t xml:space="preserve">, </w:t>
      </w:r>
      <w:r w:rsidRPr="008A2060">
        <w:rPr>
          <w:rFonts w:cs="Times"/>
          <w:i/>
          <w:iCs/>
          <w:noProof/>
          <w:szCs w:val="24"/>
        </w:rPr>
        <w:t>48</w:t>
      </w:r>
      <w:r w:rsidRPr="008A2060">
        <w:rPr>
          <w:rFonts w:cs="Times"/>
          <w:noProof/>
          <w:szCs w:val="24"/>
        </w:rPr>
        <w:t xml:space="preserve"> (2), 225–230.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(61) </w:t>
      </w:r>
      <w:r w:rsidRPr="008A2060">
        <w:rPr>
          <w:rFonts w:cs="Times"/>
          <w:noProof/>
          <w:szCs w:val="24"/>
        </w:rPr>
        <w:tab/>
        <w:t xml:space="preserve">Avdin, </w:t>
      </w:r>
      <w:r w:rsidR="00682D89" w:rsidRPr="008A2060">
        <w:rPr>
          <w:rFonts w:cs="Times"/>
          <w:noProof/>
          <w:szCs w:val="24"/>
        </w:rPr>
        <w:t>V. V.</w:t>
      </w:r>
      <w:r w:rsidR="00682D89">
        <w:rPr>
          <w:rFonts w:cs="Times"/>
          <w:noProof/>
          <w:szCs w:val="24"/>
        </w:rPr>
        <w:t xml:space="preserve">; </w:t>
      </w:r>
      <w:r w:rsidRPr="008A2060">
        <w:rPr>
          <w:rFonts w:cs="Times"/>
          <w:noProof/>
          <w:szCs w:val="24"/>
        </w:rPr>
        <w:t xml:space="preserve">Lymar, </w:t>
      </w:r>
      <w:r w:rsidR="00682D89" w:rsidRPr="008A2060">
        <w:rPr>
          <w:rFonts w:cs="Times"/>
          <w:noProof/>
          <w:szCs w:val="24"/>
        </w:rPr>
        <w:t>A. A.</w:t>
      </w:r>
      <w:r w:rsidR="00682D89">
        <w:rPr>
          <w:rFonts w:cs="Times"/>
          <w:noProof/>
          <w:szCs w:val="24"/>
        </w:rPr>
        <w:t xml:space="preserve">; </w:t>
      </w:r>
      <w:r w:rsidRPr="00400A92">
        <w:rPr>
          <w:rFonts w:cs="Times"/>
          <w:noProof/>
          <w:szCs w:val="24"/>
        </w:rPr>
        <w:t>Batist</w:t>
      </w:r>
      <w:r w:rsidRPr="008A2060">
        <w:rPr>
          <w:rFonts w:cs="Times"/>
          <w:noProof/>
          <w:szCs w:val="24"/>
        </w:rPr>
        <w:t xml:space="preserve">, </w:t>
      </w:r>
      <w:r w:rsidR="00682D89" w:rsidRPr="008A2060">
        <w:rPr>
          <w:rFonts w:cs="Times"/>
          <w:noProof/>
          <w:szCs w:val="24"/>
        </w:rPr>
        <w:t>A. V.</w:t>
      </w:r>
      <w:r w:rsidR="00682D89">
        <w:rPr>
          <w:rFonts w:cs="Times"/>
          <w:noProof/>
          <w:szCs w:val="24"/>
        </w:rPr>
        <w:t xml:space="preserve">; </w:t>
      </w:r>
      <w:r w:rsidRPr="008A2060">
        <w:rPr>
          <w:rFonts w:cs="Times"/>
          <w:noProof/>
          <w:szCs w:val="24"/>
        </w:rPr>
        <w:t xml:space="preserve">Nikitin, </w:t>
      </w:r>
      <w:r w:rsidR="00682D89" w:rsidRPr="008A2060">
        <w:rPr>
          <w:rFonts w:cs="Times"/>
          <w:noProof/>
          <w:szCs w:val="24"/>
        </w:rPr>
        <w:t>E. A.</w:t>
      </w:r>
      <w:r w:rsidR="00682D89">
        <w:rPr>
          <w:rFonts w:cs="Times"/>
          <w:noProof/>
          <w:szCs w:val="24"/>
        </w:rPr>
        <w:t>;</w:t>
      </w:r>
      <w:r w:rsidR="00682D89" w:rsidRPr="008A2060">
        <w:rPr>
          <w:rFonts w:cs="Times"/>
          <w:noProof/>
          <w:szCs w:val="24"/>
        </w:rPr>
        <w:t xml:space="preserve"> </w:t>
      </w:r>
      <w:r w:rsidRPr="008A2060">
        <w:rPr>
          <w:rFonts w:cs="Times"/>
          <w:noProof/>
          <w:szCs w:val="24"/>
        </w:rPr>
        <w:t xml:space="preserve">Belkanova, </w:t>
      </w:r>
      <w:r w:rsidR="00682D89" w:rsidRPr="008A2060">
        <w:rPr>
          <w:rFonts w:cs="Times"/>
          <w:noProof/>
          <w:szCs w:val="24"/>
        </w:rPr>
        <w:t>M. Yu.</w:t>
      </w:r>
      <w:r w:rsidR="00682D89">
        <w:rPr>
          <w:rFonts w:cs="Times"/>
          <w:noProof/>
          <w:szCs w:val="24"/>
        </w:rPr>
        <w:t>;</w:t>
      </w:r>
      <w:r w:rsidR="00682D89" w:rsidRPr="008A2060">
        <w:rPr>
          <w:rFonts w:cs="Times"/>
          <w:noProof/>
          <w:szCs w:val="24"/>
        </w:rPr>
        <w:t xml:space="preserve"> </w:t>
      </w:r>
      <w:r w:rsidR="00682D89">
        <w:rPr>
          <w:rFonts w:cs="Times"/>
          <w:noProof/>
          <w:szCs w:val="24"/>
        </w:rPr>
        <w:t>Potemkin,</w:t>
      </w:r>
      <w:r w:rsidRPr="008A2060">
        <w:rPr>
          <w:rFonts w:cs="Times"/>
          <w:noProof/>
          <w:szCs w:val="24"/>
        </w:rPr>
        <w:t xml:space="preserve"> </w:t>
      </w:r>
      <w:r w:rsidR="00682D89" w:rsidRPr="008A2060">
        <w:rPr>
          <w:rFonts w:cs="Times"/>
          <w:noProof/>
          <w:szCs w:val="24"/>
        </w:rPr>
        <w:lastRenderedPageBreak/>
        <w:t xml:space="preserve">V. A. </w:t>
      </w:r>
      <w:r w:rsidRPr="008A2060">
        <w:rPr>
          <w:rFonts w:cs="Times"/>
          <w:noProof/>
          <w:szCs w:val="24"/>
        </w:rPr>
        <w:t>S</w:t>
      </w:r>
      <w:r w:rsidR="00682D89" w:rsidRPr="008A2060">
        <w:rPr>
          <w:rFonts w:cs="Times"/>
          <w:noProof/>
          <w:szCs w:val="24"/>
        </w:rPr>
        <w:t>tructure</w:t>
      </w:r>
      <w:r w:rsidRPr="008A2060">
        <w:rPr>
          <w:rFonts w:cs="Times"/>
          <w:noProof/>
          <w:szCs w:val="24"/>
        </w:rPr>
        <w:t xml:space="preserve"> F</w:t>
      </w:r>
      <w:r w:rsidR="00682D89" w:rsidRPr="008A2060">
        <w:rPr>
          <w:rFonts w:cs="Times"/>
          <w:noProof/>
          <w:szCs w:val="24"/>
        </w:rPr>
        <w:t>ormation in</w:t>
      </w:r>
      <w:r w:rsidRPr="008A2060">
        <w:rPr>
          <w:rFonts w:cs="Times"/>
          <w:noProof/>
          <w:szCs w:val="24"/>
        </w:rPr>
        <w:t xml:space="preserve"> H</w:t>
      </w:r>
      <w:r w:rsidR="00682D89" w:rsidRPr="008A2060">
        <w:rPr>
          <w:rFonts w:cs="Times"/>
          <w:noProof/>
          <w:szCs w:val="24"/>
        </w:rPr>
        <w:t>eavy</w:t>
      </w:r>
      <w:r w:rsidRPr="008A2060">
        <w:rPr>
          <w:rFonts w:cs="Times"/>
          <w:noProof/>
          <w:szCs w:val="24"/>
        </w:rPr>
        <w:t xml:space="preserve"> M</w:t>
      </w:r>
      <w:r w:rsidR="00682D89" w:rsidRPr="008A2060">
        <w:rPr>
          <w:rFonts w:cs="Times"/>
          <w:noProof/>
          <w:szCs w:val="24"/>
        </w:rPr>
        <w:t>etal</w:t>
      </w:r>
      <w:r w:rsidRPr="008A2060">
        <w:rPr>
          <w:rFonts w:cs="Times"/>
          <w:noProof/>
          <w:szCs w:val="24"/>
        </w:rPr>
        <w:t xml:space="preserve"> O</w:t>
      </w:r>
      <w:r w:rsidR="00682D89" w:rsidRPr="008A2060">
        <w:rPr>
          <w:rFonts w:cs="Times"/>
          <w:noProof/>
          <w:szCs w:val="24"/>
        </w:rPr>
        <w:t>xyhydrates at</w:t>
      </w:r>
      <w:r w:rsidRPr="008A2060">
        <w:rPr>
          <w:rFonts w:cs="Times"/>
          <w:noProof/>
          <w:szCs w:val="24"/>
        </w:rPr>
        <w:t xml:space="preserve"> L</w:t>
      </w:r>
      <w:r w:rsidR="00682D89" w:rsidRPr="008A2060">
        <w:rPr>
          <w:rFonts w:cs="Times"/>
          <w:noProof/>
          <w:szCs w:val="24"/>
        </w:rPr>
        <w:t>ow</w:t>
      </w:r>
      <w:r w:rsidRPr="008A2060">
        <w:rPr>
          <w:rFonts w:cs="Times"/>
          <w:noProof/>
          <w:szCs w:val="24"/>
        </w:rPr>
        <w:t xml:space="preserve"> R</w:t>
      </w:r>
      <w:r w:rsidR="00682D89" w:rsidRPr="008A2060">
        <w:rPr>
          <w:rFonts w:cs="Times"/>
          <w:noProof/>
          <w:szCs w:val="24"/>
        </w:rPr>
        <w:t xml:space="preserve">ates of </w:t>
      </w:r>
      <w:r w:rsidRPr="008A2060">
        <w:rPr>
          <w:rFonts w:cs="Times"/>
          <w:noProof/>
          <w:szCs w:val="24"/>
        </w:rPr>
        <w:t>G</w:t>
      </w:r>
      <w:r w:rsidR="00682D89" w:rsidRPr="008A2060">
        <w:rPr>
          <w:rFonts w:cs="Times"/>
          <w:noProof/>
          <w:szCs w:val="24"/>
        </w:rPr>
        <w:t>el</w:t>
      </w:r>
      <w:r w:rsidRPr="008A2060">
        <w:rPr>
          <w:rFonts w:cs="Times"/>
          <w:noProof/>
          <w:szCs w:val="24"/>
        </w:rPr>
        <w:t xml:space="preserve"> F</w:t>
      </w:r>
      <w:r w:rsidR="00682D89" w:rsidRPr="008A2060">
        <w:rPr>
          <w:rFonts w:cs="Times"/>
          <w:noProof/>
          <w:szCs w:val="24"/>
        </w:rPr>
        <w:t>ormation</w:t>
      </w:r>
      <w:r w:rsidRPr="008A2060">
        <w:rPr>
          <w:rFonts w:cs="Times"/>
          <w:noProof/>
          <w:szCs w:val="24"/>
        </w:rPr>
        <w:t>.</w:t>
      </w:r>
      <w:r w:rsidR="00881448" w:rsidRPr="00881448">
        <w:rPr>
          <w:rFonts w:cs="Times"/>
          <w:i/>
          <w:iCs/>
          <w:noProof/>
          <w:szCs w:val="24"/>
        </w:rPr>
        <w:t xml:space="preserve"> </w:t>
      </w:r>
      <w:r w:rsidR="00881448" w:rsidRPr="008A2060">
        <w:rPr>
          <w:rFonts w:cs="Times"/>
          <w:i/>
          <w:iCs/>
          <w:noProof/>
          <w:szCs w:val="24"/>
        </w:rPr>
        <w:t>J. Struct. Chem.</w:t>
      </w:r>
      <w:r w:rsidRPr="008A2060">
        <w:rPr>
          <w:rFonts w:cs="Times"/>
          <w:noProof/>
          <w:szCs w:val="24"/>
        </w:rPr>
        <w:t xml:space="preserve"> </w:t>
      </w:r>
      <w:r w:rsidRPr="008A2060">
        <w:rPr>
          <w:rFonts w:cs="Times"/>
          <w:b/>
          <w:bCs/>
          <w:noProof/>
          <w:szCs w:val="24"/>
        </w:rPr>
        <w:t>2007</w:t>
      </w:r>
      <w:r w:rsidRPr="008A2060">
        <w:rPr>
          <w:rFonts w:cs="Times"/>
          <w:noProof/>
          <w:szCs w:val="24"/>
        </w:rPr>
        <w:t xml:space="preserve">, </w:t>
      </w:r>
      <w:r w:rsidRPr="008A2060">
        <w:rPr>
          <w:rFonts w:cs="Times"/>
          <w:i/>
          <w:iCs/>
          <w:noProof/>
          <w:szCs w:val="24"/>
        </w:rPr>
        <w:t>48</w:t>
      </w:r>
      <w:r w:rsidRPr="008A2060">
        <w:rPr>
          <w:rFonts w:cs="Times"/>
          <w:noProof/>
          <w:szCs w:val="24"/>
        </w:rPr>
        <w:t xml:space="preserve"> (4), 747–752.</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(62) </w:t>
      </w:r>
      <w:r w:rsidRPr="008A2060">
        <w:rPr>
          <w:rFonts w:cs="Times"/>
          <w:noProof/>
          <w:szCs w:val="24"/>
        </w:rPr>
        <w:tab/>
        <w:t xml:space="preserve">Korenev, V. S.; Kirin, V. P.; Maksakov, V. A.; Virovets, A. V.; Tkachev, S. V.; Potemkin, V. A.; Agafontsev, A. M.; Tkachev, A. V. Triosmium Cluster with the Triosmium Cluster with the Bridging Aminooxime Triosmium Cluster with the Bridging Aminooxime Derivative of Pinane: Synthesis, Crystal Structure and Conformational Analysis. </w:t>
      </w:r>
      <w:r w:rsidRPr="008A2060">
        <w:rPr>
          <w:rFonts w:cs="Times"/>
          <w:i/>
          <w:iCs/>
          <w:noProof/>
          <w:szCs w:val="24"/>
        </w:rPr>
        <w:t>Russ. J. Coord. Chem.</w:t>
      </w:r>
      <w:r w:rsidRPr="008A2060">
        <w:rPr>
          <w:rFonts w:cs="Times"/>
          <w:noProof/>
          <w:szCs w:val="24"/>
        </w:rPr>
        <w:t xml:space="preserve"> </w:t>
      </w:r>
      <w:r w:rsidRPr="008A2060">
        <w:rPr>
          <w:rFonts w:cs="Times"/>
          <w:b/>
          <w:bCs/>
          <w:noProof/>
          <w:szCs w:val="24"/>
        </w:rPr>
        <w:t>2007</w:t>
      </w:r>
      <w:r w:rsidRPr="008A2060">
        <w:rPr>
          <w:rFonts w:cs="Times"/>
          <w:noProof/>
          <w:szCs w:val="24"/>
        </w:rPr>
        <w:t xml:space="preserve">, </w:t>
      </w:r>
      <w:r w:rsidRPr="008A2060">
        <w:rPr>
          <w:rFonts w:cs="Times"/>
          <w:i/>
          <w:iCs/>
          <w:noProof/>
          <w:szCs w:val="24"/>
        </w:rPr>
        <w:t>33</w:t>
      </w:r>
      <w:r w:rsidRPr="008A2060">
        <w:rPr>
          <w:rFonts w:cs="Times"/>
          <w:noProof/>
          <w:szCs w:val="24"/>
        </w:rPr>
        <w:t xml:space="preserve"> (8), 594–600.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(63) </w:t>
      </w:r>
      <w:r w:rsidRPr="008A2060">
        <w:rPr>
          <w:rFonts w:cs="Times"/>
          <w:noProof/>
          <w:szCs w:val="24"/>
        </w:rPr>
        <w:tab/>
        <w:t xml:space="preserve">Shchur, I. V.; </w:t>
      </w:r>
      <w:r w:rsidRPr="00400A92">
        <w:rPr>
          <w:rFonts w:cs="Times"/>
          <w:noProof/>
          <w:szCs w:val="24"/>
        </w:rPr>
        <w:t>Khudina</w:t>
      </w:r>
      <w:r w:rsidRPr="008A2060">
        <w:rPr>
          <w:rFonts w:cs="Times"/>
          <w:noProof/>
          <w:szCs w:val="24"/>
        </w:rPr>
        <w:t xml:space="preserve">, O. G.; Burgart, Y. V.; Saloutin, V. I.; Grishina, M. A.; Potemkin, V. A. Synthesis, Structure, and Complexing Ability of Fluoroalkyl-Containing 2,2′-(Biphenyl-4,4′-Diyldihydrazono)Bis(1,3-Dicarbonyl) Compounds. </w:t>
      </w:r>
      <w:r w:rsidRPr="008A2060">
        <w:rPr>
          <w:rFonts w:cs="Times"/>
          <w:i/>
          <w:iCs/>
          <w:noProof/>
          <w:szCs w:val="24"/>
        </w:rPr>
        <w:t>Russ. J. Org. Chem.</w:t>
      </w:r>
      <w:r w:rsidRPr="008A2060">
        <w:rPr>
          <w:rFonts w:cs="Times"/>
          <w:noProof/>
          <w:szCs w:val="24"/>
        </w:rPr>
        <w:t xml:space="preserve"> </w:t>
      </w:r>
      <w:r w:rsidRPr="008A2060">
        <w:rPr>
          <w:rFonts w:cs="Times"/>
          <w:b/>
          <w:bCs/>
          <w:noProof/>
          <w:szCs w:val="24"/>
        </w:rPr>
        <w:t>2007</w:t>
      </w:r>
      <w:r w:rsidRPr="008A2060">
        <w:rPr>
          <w:rFonts w:cs="Times"/>
          <w:noProof/>
          <w:szCs w:val="24"/>
        </w:rPr>
        <w:t xml:space="preserve">, </w:t>
      </w:r>
      <w:r w:rsidRPr="008A2060">
        <w:rPr>
          <w:rFonts w:cs="Times"/>
          <w:i/>
          <w:iCs/>
          <w:noProof/>
          <w:szCs w:val="24"/>
        </w:rPr>
        <w:t>43</w:t>
      </w:r>
      <w:r w:rsidRPr="008A2060">
        <w:rPr>
          <w:rFonts w:cs="Times"/>
          <w:noProof/>
          <w:szCs w:val="24"/>
        </w:rPr>
        <w:t xml:space="preserve"> (12), 1781–1787.</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(64) </w:t>
      </w:r>
      <w:r w:rsidRPr="008A2060">
        <w:rPr>
          <w:rFonts w:cs="Times"/>
          <w:noProof/>
          <w:szCs w:val="24"/>
        </w:rPr>
        <w:tab/>
        <w:t xml:space="preserve">Grishina, M. A.; Potemkin, V. A.; Matern, A. I. Theoretical Study of </w:t>
      </w:r>
      <w:r w:rsidRPr="00400A92">
        <w:rPr>
          <w:rFonts w:cs="Times"/>
          <w:noProof/>
          <w:szCs w:val="24"/>
        </w:rPr>
        <w:t>Acridane</w:t>
      </w:r>
      <w:r w:rsidRPr="008A2060">
        <w:rPr>
          <w:rFonts w:cs="Times"/>
          <w:noProof/>
          <w:szCs w:val="24"/>
        </w:rPr>
        <w:t xml:space="preserve"> Oxidation Reactions. </w:t>
      </w:r>
      <w:r w:rsidRPr="008A2060">
        <w:rPr>
          <w:rFonts w:cs="Times"/>
          <w:i/>
          <w:iCs/>
          <w:noProof/>
          <w:szCs w:val="24"/>
        </w:rPr>
        <w:t>J. Struct. Chem.</w:t>
      </w:r>
      <w:r w:rsidRPr="008A2060">
        <w:rPr>
          <w:rFonts w:cs="Times"/>
          <w:noProof/>
          <w:szCs w:val="24"/>
        </w:rPr>
        <w:t xml:space="preserve"> </w:t>
      </w:r>
      <w:r w:rsidRPr="008A2060">
        <w:rPr>
          <w:rFonts w:cs="Times"/>
          <w:b/>
          <w:bCs/>
          <w:noProof/>
          <w:szCs w:val="24"/>
        </w:rPr>
        <w:t>2008</w:t>
      </w:r>
      <w:r w:rsidRPr="008A2060">
        <w:rPr>
          <w:rFonts w:cs="Times"/>
          <w:noProof/>
          <w:szCs w:val="24"/>
        </w:rPr>
        <w:t xml:space="preserve">, </w:t>
      </w:r>
      <w:r w:rsidRPr="008A2060">
        <w:rPr>
          <w:rFonts w:cs="Times"/>
          <w:i/>
          <w:iCs/>
          <w:noProof/>
          <w:szCs w:val="24"/>
        </w:rPr>
        <w:t>49</w:t>
      </w:r>
      <w:r w:rsidRPr="008A2060">
        <w:rPr>
          <w:rFonts w:cs="Times"/>
          <w:noProof/>
          <w:szCs w:val="24"/>
        </w:rPr>
        <w:t xml:space="preserve"> (1), 7–12.</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(65) </w:t>
      </w:r>
      <w:r w:rsidRPr="008A2060">
        <w:rPr>
          <w:rFonts w:cs="Times"/>
          <w:noProof/>
          <w:szCs w:val="24"/>
        </w:rPr>
        <w:tab/>
        <w:t xml:space="preserve">Maksakov, </w:t>
      </w:r>
      <w:r w:rsidR="00881448" w:rsidRPr="008A2060">
        <w:rPr>
          <w:rFonts w:cs="Times"/>
          <w:noProof/>
          <w:szCs w:val="24"/>
        </w:rPr>
        <w:t>V. A.</w:t>
      </w:r>
      <w:r w:rsidR="00881448">
        <w:rPr>
          <w:rFonts w:cs="Times"/>
          <w:noProof/>
          <w:szCs w:val="24"/>
        </w:rPr>
        <w:t xml:space="preserve">; </w:t>
      </w:r>
      <w:r w:rsidRPr="008A2060">
        <w:rPr>
          <w:rFonts w:cs="Times"/>
          <w:noProof/>
          <w:szCs w:val="24"/>
        </w:rPr>
        <w:t xml:space="preserve">Pervukhina, </w:t>
      </w:r>
      <w:r w:rsidR="00881448" w:rsidRPr="008A2060">
        <w:rPr>
          <w:rFonts w:cs="Times"/>
          <w:noProof/>
          <w:szCs w:val="24"/>
        </w:rPr>
        <w:t>N. V.</w:t>
      </w:r>
      <w:r w:rsidR="00881448">
        <w:rPr>
          <w:rFonts w:cs="Times"/>
          <w:noProof/>
          <w:szCs w:val="24"/>
        </w:rPr>
        <w:t xml:space="preserve">; </w:t>
      </w:r>
      <w:r w:rsidRPr="008A2060">
        <w:rPr>
          <w:rFonts w:cs="Times"/>
          <w:noProof/>
          <w:szCs w:val="24"/>
        </w:rPr>
        <w:t xml:space="preserve">Podberezskaya, </w:t>
      </w:r>
      <w:r w:rsidR="00881448" w:rsidRPr="008A2060">
        <w:rPr>
          <w:rFonts w:cs="Times"/>
          <w:noProof/>
          <w:szCs w:val="24"/>
        </w:rPr>
        <w:t>N. V.</w:t>
      </w:r>
      <w:r w:rsidR="00881448">
        <w:rPr>
          <w:rFonts w:cs="Times"/>
          <w:noProof/>
          <w:szCs w:val="24"/>
        </w:rPr>
        <w:t>;</w:t>
      </w:r>
      <w:r w:rsidR="00881448" w:rsidRPr="008A2060">
        <w:rPr>
          <w:rFonts w:cs="Times"/>
          <w:noProof/>
          <w:szCs w:val="24"/>
        </w:rPr>
        <w:t xml:space="preserve"> </w:t>
      </w:r>
      <w:r w:rsidRPr="008A2060">
        <w:rPr>
          <w:rFonts w:cs="Times"/>
          <w:noProof/>
          <w:szCs w:val="24"/>
        </w:rPr>
        <w:t xml:space="preserve">Afonin, </w:t>
      </w:r>
      <w:r w:rsidR="00881448" w:rsidRPr="008A2060">
        <w:rPr>
          <w:rFonts w:cs="Times"/>
          <w:noProof/>
          <w:szCs w:val="24"/>
        </w:rPr>
        <w:t>M. Yu.</w:t>
      </w:r>
      <w:r w:rsidR="00881448">
        <w:rPr>
          <w:rFonts w:cs="Times"/>
          <w:noProof/>
          <w:szCs w:val="24"/>
        </w:rPr>
        <w:t xml:space="preserve">; </w:t>
      </w:r>
      <w:r w:rsidRPr="008A2060">
        <w:rPr>
          <w:rFonts w:cs="Times"/>
          <w:noProof/>
          <w:szCs w:val="24"/>
        </w:rPr>
        <w:t xml:space="preserve">Potemkin, </w:t>
      </w:r>
      <w:r w:rsidR="00881448" w:rsidRPr="008A2060">
        <w:rPr>
          <w:rFonts w:cs="Times"/>
          <w:noProof/>
          <w:szCs w:val="24"/>
        </w:rPr>
        <w:t>V. A.</w:t>
      </w:r>
      <w:r w:rsidR="00881448">
        <w:rPr>
          <w:rFonts w:cs="Times"/>
          <w:noProof/>
          <w:szCs w:val="24"/>
        </w:rPr>
        <w:t>; Kirin,</w:t>
      </w:r>
      <w:r w:rsidRPr="008A2060">
        <w:rPr>
          <w:rFonts w:cs="Times"/>
          <w:noProof/>
          <w:szCs w:val="24"/>
        </w:rPr>
        <w:t xml:space="preserve"> </w:t>
      </w:r>
      <w:r w:rsidR="00881448" w:rsidRPr="008A2060">
        <w:rPr>
          <w:rFonts w:cs="Times"/>
          <w:noProof/>
          <w:szCs w:val="24"/>
        </w:rPr>
        <w:t>V. P.</w:t>
      </w:r>
      <w:r w:rsidR="00881448">
        <w:rPr>
          <w:rFonts w:cs="Times"/>
          <w:noProof/>
          <w:szCs w:val="24"/>
        </w:rPr>
        <w:t xml:space="preserve"> </w:t>
      </w:r>
      <w:r w:rsidRPr="008A2060">
        <w:rPr>
          <w:rFonts w:cs="Times"/>
          <w:noProof/>
          <w:szCs w:val="24"/>
        </w:rPr>
        <w:t>X-</w:t>
      </w:r>
      <w:r w:rsidR="00881448" w:rsidRPr="008A2060">
        <w:rPr>
          <w:rFonts w:cs="Times"/>
          <w:noProof/>
          <w:szCs w:val="24"/>
        </w:rPr>
        <w:t>ray and</w:t>
      </w:r>
      <w:r w:rsidRPr="008A2060">
        <w:rPr>
          <w:rFonts w:cs="Times"/>
          <w:noProof/>
          <w:szCs w:val="24"/>
        </w:rPr>
        <w:t xml:space="preserve"> C</w:t>
      </w:r>
      <w:r w:rsidR="00881448" w:rsidRPr="008A2060">
        <w:rPr>
          <w:rFonts w:cs="Times"/>
          <w:noProof/>
          <w:szCs w:val="24"/>
        </w:rPr>
        <w:t>onformation</w:t>
      </w:r>
      <w:r w:rsidRPr="008A2060">
        <w:rPr>
          <w:rFonts w:cs="Times"/>
          <w:noProof/>
          <w:szCs w:val="24"/>
        </w:rPr>
        <w:t xml:space="preserve"> A</w:t>
      </w:r>
      <w:r w:rsidR="00881448" w:rsidRPr="008A2060">
        <w:rPr>
          <w:rFonts w:cs="Times"/>
          <w:noProof/>
          <w:szCs w:val="24"/>
        </w:rPr>
        <w:t>nalysis</w:t>
      </w:r>
      <w:r w:rsidRPr="008A2060">
        <w:rPr>
          <w:rFonts w:cs="Times"/>
          <w:noProof/>
          <w:szCs w:val="24"/>
        </w:rPr>
        <w:t xml:space="preserve"> </w:t>
      </w:r>
      <w:r w:rsidR="00881448" w:rsidRPr="008A2060">
        <w:rPr>
          <w:rFonts w:cs="Times"/>
          <w:noProof/>
          <w:szCs w:val="24"/>
        </w:rPr>
        <w:t>of the</w:t>
      </w:r>
      <w:r w:rsidRPr="008A2060">
        <w:rPr>
          <w:rFonts w:cs="Times"/>
          <w:noProof/>
          <w:szCs w:val="24"/>
        </w:rPr>
        <w:t xml:space="preserve"> N</w:t>
      </w:r>
      <w:r w:rsidR="00881448" w:rsidRPr="008A2060">
        <w:rPr>
          <w:rFonts w:cs="Times"/>
          <w:noProof/>
          <w:szCs w:val="24"/>
        </w:rPr>
        <w:t>ew</w:t>
      </w:r>
      <w:r w:rsidRPr="008A2060">
        <w:rPr>
          <w:rFonts w:cs="Times"/>
          <w:noProof/>
          <w:szCs w:val="24"/>
        </w:rPr>
        <w:t xml:space="preserve"> T</w:t>
      </w:r>
      <w:r w:rsidR="00881448" w:rsidRPr="008A2060">
        <w:rPr>
          <w:rFonts w:cs="Times"/>
          <w:noProof/>
          <w:szCs w:val="24"/>
        </w:rPr>
        <w:t>rinuclear</w:t>
      </w:r>
      <w:r w:rsidRPr="008A2060">
        <w:rPr>
          <w:rFonts w:cs="Times"/>
          <w:noProof/>
          <w:szCs w:val="24"/>
        </w:rPr>
        <w:t xml:space="preserve"> C</w:t>
      </w:r>
      <w:r w:rsidR="00881448" w:rsidRPr="008A2060">
        <w:rPr>
          <w:rFonts w:cs="Times"/>
          <w:noProof/>
          <w:szCs w:val="24"/>
        </w:rPr>
        <w:t>luster of</w:t>
      </w:r>
      <w:r w:rsidRPr="008A2060">
        <w:rPr>
          <w:rFonts w:cs="Times"/>
          <w:noProof/>
          <w:szCs w:val="24"/>
        </w:rPr>
        <w:t xml:space="preserve"> O</w:t>
      </w:r>
      <w:r w:rsidR="00881448" w:rsidRPr="008A2060">
        <w:rPr>
          <w:rFonts w:cs="Times"/>
          <w:noProof/>
          <w:szCs w:val="24"/>
        </w:rPr>
        <w:t>smium</w:t>
      </w:r>
      <w:r w:rsidR="00881448">
        <w:rPr>
          <w:rFonts w:cs="Times"/>
          <w:noProof/>
          <w:szCs w:val="24"/>
        </w:rPr>
        <w:t xml:space="preserve"> Os</w:t>
      </w:r>
      <w:r w:rsidR="00881448" w:rsidRPr="00881448">
        <w:rPr>
          <w:rFonts w:cs="Times"/>
          <w:noProof/>
          <w:szCs w:val="24"/>
          <w:vertAlign w:val="subscript"/>
        </w:rPr>
        <w:t>3</w:t>
      </w:r>
      <w:r w:rsidR="00881448">
        <w:rPr>
          <w:rFonts w:cs="Times"/>
          <w:noProof/>
          <w:szCs w:val="24"/>
        </w:rPr>
        <w:t>(µ,η</w:t>
      </w:r>
      <w:r w:rsidR="00881448">
        <w:rPr>
          <w:rFonts w:cs="Times"/>
          <w:noProof/>
          <w:szCs w:val="24"/>
          <w:vertAlign w:val="superscript"/>
        </w:rPr>
        <w:t>2</w:t>
      </w:r>
      <w:r w:rsidR="00881448">
        <w:rPr>
          <w:rFonts w:cs="Times"/>
          <w:noProof/>
          <w:szCs w:val="24"/>
        </w:rPr>
        <w:t>-OCC</w:t>
      </w:r>
      <w:r w:rsidR="00881448" w:rsidRPr="00881448">
        <w:rPr>
          <w:rFonts w:cs="Times"/>
          <w:noProof/>
          <w:szCs w:val="24"/>
          <w:vertAlign w:val="subscript"/>
        </w:rPr>
        <w:t>6</w:t>
      </w:r>
      <w:r w:rsidR="00881448">
        <w:rPr>
          <w:rFonts w:cs="Times"/>
          <w:noProof/>
          <w:szCs w:val="24"/>
        </w:rPr>
        <w:t>H</w:t>
      </w:r>
      <w:r w:rsidRPr="00881448">
        <w:rPr>
          <w:rFonts w:cs="Times"/>
          <w:noProof/>
          <w:szCs w:val="24"/>
          <w:vertAlign w:val="subscript"/>
        </w:rPr>
        <w:t>5</w:t>
      </w:r>
      <w:r w:rsidR="00881448">
        <w:rPr>
          <w:rFonts w:cs="Times"/>
          <w:noProof/>
          <w:szCs w:val="24"/>
        </w:rPr>
        <w:t>)(CO)</w:t>
      </w:r>
      <w:r w:rsidR="00881448" w:rsidRPr="00881448">
        <w:rPr>
          <w:rFonts w:cs="Times"/>
          <w:noProof/>
          <w:szCs w:val="24"/>
          <w:vertAlign w:val="subscript"/>
        </w:rPr>
        <w:t>9</w:t>
      </w:r>
      <w:r w:rsidRPr="008A2060">
        <w:rPr>
          <w:rFonts w:cs="Times"/>
          <w:noProof/>
          <w:szCs w:val="24"/>
        </w:rPr>
        <w:t>.</w:t>
      </w:r>
      <w:r w:rsidR="00881448">
        <w:rPr>
          <w:rFonts w:cs="Times"/>
          <w:noProof/>
          <w:szCs w:val="24"/>
        </w:rPr>
        <w:t xml:space="preserve"> </w:t>
      </w:r>
      <w:r w:rsidR="00881448" w:rsidRPr="008A2060">
        <w:rPr>
          <w:rFonts w:cs="Times"/>
          <w:i/>
          <w:iCs/>
          <w:noProof/>
          <w:szCs w:val="24"/>
        </w:rPr>
        <w:t>J. Struct. Chem.</w:t>
      </w:r>
      <w:r w:rsidRPr="008A2060">
        <w:rPr>
          <w:rFonts w:cs="Times"/>
          <w:noProof/>
          <w:szCs w:val="24"/>
        </w:rPr>
        <w:t xml:space="preserve"> </w:t>
      </w:r>
      <w:r w:rsidRPr="008A2060">
        <w:rPr>
          <w:rFonts w:cs="Times"/>
          <w:b/>
          <w:bCs/>
          <w:noProof/>
          <w:szCs w:val="24"/>
        </w:rPr>
        <w:t>2008</w:t>
      </w:r>
      <w:r w:rsidRPr="008A2060">
        <w:rPr>
          <w:rFonts w:cs="Times"/>
          <w:noProof/>
          <w:szCs w:val="24"/>
        </w:rPr>
        <w:t xml:space="preserve">, </w:t>
      </w:r>
      <w:r w:rsidRPr="008A2060">
        <w:rPr>
          <w:rFonts w:cs="Times"/>
          <w:i/>
          <w:iCs/>
          <w:noProof/>
          <w:szCs w:val="24"/>
        </w:rPr>
        <w:t>49</w:t>
      </w:r>
      <w:r w:rsidRPr="008A2060">
        <w:rPr>
          <w:rFonts w:cs="Times"/>
          <w:noProof/>
          <w:szCs w:val="24"/>
        </w:rPr>
        <w:t xml:space="preserve"> (5), 894–900.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(66) </w:t>
      </w:r>
      <w:r w:rsidRPr="008A2060">
        <w:rPr>
          <w:rFonts w:cs="Times"/>
          <w:noProof/>
          <w:szCs w:val="24"/>
        </w:rPr>
        <w:tab/>
        <w:t xml:space="preserve">Kuzmicheva, G. A.; Jayanna, P. K.; Eroshkin, A. M.; Grishina, M. A.; Pereyaslavskaya, E. S.; Potemkin, V. A.; Petrenko, V. A. Mutations in Fd Phage Major Coat Protein Modulate Affinity of the Displayed Peptide. </w:t>
      </w:r>
      <w:r w:rsidRPr="008A2060">
        <w:rPr>
          <w:rFonts w:cs="Times"/>
          <w:i/>
          <w:iCs/>
          <w:noProof/>
          <w:szCs w:val="24"/>
        </w:rPr>
        <w:t>Protein Eng. Des. Sel.</w:t>
      </w:r>
      <w:r w:rsidRPr="008A2060">
        <w:rPr>
          <w:rFonts w:cs="Times"/>
          <w:noProof/>
          <w:szCs w:val="24"/>
        </w:rPr>
        <w:t xml:space="preserve"> </w:t>
      </w:r>
      <w:r w:rsidRPr="008A2060">
        <w:rPr>
          <w:rFonts w:cs="Times"/>
          <w:b/>
          <w:bCs/>
          <w:noProof/>
          <w:szCs w:val="24"/>
        </w:rPr>
        <w:t>2009</w:t>
      </w:r>
      <w:r w:rsidRPr="008A2060">
        <w:rPr>
          <w:rFonts w:cs="Times"/>
          <w:noProof/>
          <w:szCs w:val="24"/>
        </w:rPr>
        <w:t xml:space="preserve">, </w:t>
      </w:r>
      <w:r w:rsidRPr="008A2060">
        <w:rPr>
          <w:rFonts w:cs="Times"/>
          <w:i/>
          <w:iCs/>
          <w:noProof/>
          <w:szCs w:val="24"/>
        </w:rPr>
        <w:t>22</w:t>
      </w:r>
      <w:r w:rsidRPr="008A2060">
        <w:rPr>
          <w:rFonts w:cs="Times"/>
          <w:noProof/>
          <w:szCs w:val="24"/>
        </w:rPr>
        <w:t xml:space="preserve"> (10), 631–639.</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(67) </w:t>
      </w:r>
      <w:r w:rsidRPr="008A2060">
        <w:rPr>
          <w:rFonts w:cs="Times"/>
          <w:noProof/>
          <w:szCs w:val="24"/>
        </w:rPr>
        <w:tab/>
        <w:t xml:space="preserve">Potemkin, </w:t>
      </w:r>
      <w:r w:rsidR="00881448" w:rsidRPr="008A2060">
        <w:rPr>
          <w:rFonts w:cs="Times"/>
          <w:noProof/>
          <w:szCs w:val="24"/>
        </w:rPr>
        <w:t>V. A.</w:t>
      </w:r>
      <w:r w:rsidR="00881448">
        <w:rPr>
          <w:rFonts w:cs="Times"/>
          <w:noProof/>
          <w:szCs w:val="24"/>
        </w:rPr>
        <w:t>;</w:t>
      </w:r>
      <w:r w:rsidR="00881448" w:rsidRPr="008A2060">
        <w:rPr>
          <w:rFonts w:cs="Times"/>
          <w:noProof/>
          <w:szCs w:val="24"/>
        </w:rPr>
        <w:t xml:space="preserve"> </w:t>
      </w:r>
      <w:r w:rsidRPr="008A2060">
        <w:rPr>
          <w:rFonts w:cs="Times"/>
          <w:noProof/>
          <w:szCs w:val="24"/>
        </w:rPr>
        <w:t xml:space="preserve">Ivshina, </w:t>
      </w:r>
      <w:r w:rsidR="00881448" w:rsidRPr="008A2060">
        <w:rPr>
          <w:rFonts w:cs="Times"/>
          <w:noProof/>
          <w:szCs w:val="24"/>
        </w:rPr>
        <w:t>N. N.</w:t>
      </w:r>
      <w:r w:rsidR="00881448">
        <w:rPr>
          <w:rFonts w:cs="Times"/>
          <w:noProof/>
          <w:szCs w:val="24"/>
        </w:rPr>
        <w:t>;</w:t>
      </w:r>
      <w:r w:rsidR="00881448" w:rsidRPr="008A2060">
        <w:rPr>
          <w:rFonts w:cs="Times"/>
          <w:noProof/>
          <w:szCs w:val="24"/>
        </w:rPr>
        <w:t xml:space="preserve"> </w:t>
      </w:r>
      <w:r w:rsidR="00881448">
        <w:rPr>
          <w:rFonts w:cs="Times"/>
          <w:noProof/>
          <w:szCs w:val="24"/>
        </w:rPr>
        <w:t>Maksakov,</w:t>
      </w:r>
      <w:r w:rsidRPr="008A2060">
        <w:rPr>
          <w:rFonts w:cs="Times"/>
          <w:noProof/>
          <w:szCs w:val="24"/>
        </w:rPr>
        <w:t xml:space="preserve"> </w:t>
      </w:r>
      <w:r w:rsidR="00881448" w:rsidRPr="008A2060">
        <w:rPr>
          <w:rFonts w:cs="Times"/>
          <w:noProof/>
          <w:szCs w:val="24"/>
        </w:rPr>
        <w:t xml:space="preserve">V. A. </w:t>
      </w:r>
      <w:r w:rsidRPr="008A2060">
        <w:rPr>
          <w:rFonts w:cs="Times"/>
          <w:noProof/>
          <w:szCs w:val="24"/>
        </w:rPr>
        <w:t>T</w:t>
      </w:r>
      <w:r w:rsidR="00881448" w:rsidRPr="008A2060">
        <w:rPr>
          <w:rFonts w:cs="Times"/>
          <w:noProof/>
          <w:szCs w:val="24"/>
        </w:rPr>
        <w:t>heoretical</w:t>
      </w:r>
      <w:r w:rsidRPr="008A2060">
        <w:rPr>
          <w:rFonts w:cs="Times"/>
          <w:noProof/>
          <w:szCs w:val="24"/>
        </w:rPr>
        <w:t xml:space="preserve"> S</w:t>
      </w:r>
      <w:r w:rsidR="00881448" w:rsidRPr="008A2060">
        <w:rPr>
          <w:rFonts w:cs="Times"/>
          <w:noProof/>
          <w:szCs w:val="24"/>
        </w:rPr>
        <w:t>tudy of the</w:t>
      </w:r>
      <w:r w:rsidRPr="008A2060">
        <w:rPr>
          <w:rFonts w:cs="Times"/>
          <w:noProof/>
          <w:szCs w:val="24"/>
        </w:rPr>
        <w:t xml:space="preserve"> </w:t>
      </w:r>
      <w:r w:rsidRPr="008A2060">
        <w:rPr>
          <w:rFonts w:cs="Times"/>
          <w:noProof/>
          <w:szCs w:val="24"/>
        </w:rPr>
        <w:lastRenderedPageBreak/>
        <w:t>C</w:t>
      </w:r>
      <w:r w:rsidR="00881448" w:rsidRPr="008A2060">
        <w:rPr>
          <w:rFonts w:cs="Times"/>
          <w:noProof/>
          <w:szCs w:val="24"/>
        </w:rPr>
        <w:t>onformational</w:t>
      </w:r>
      <w:r w:rsidRPr="008A2060">
        <w:rPr>
          <w:rFonts w:cs="Times"/>
          <w:noProof/>
          <w:szCs w:val="24"/>
        </w:rPr>
        <w:t xml:space="preserve"> F</w:t>
      </w:r>
      <w:r w:rsidR="00881448" w:rsidRPr="008A2060">
        <w:rPr>
          <w:rFonts w:cs="Times"/>
          <w:noProof/>
          <w:szCs w:val="24"/>
        </w:rPr>
        <w:t xml:space="preserve">eatures of </w:t>
      </w:r>
      <w:r w:rsidRPr="008A2060">
        <w:rPr>
          <w:rFonts w:cs="Times"/>
          <w:noProof/>
          <w:szCs w:val="24"/>
        </w:rPr>
        <w:t>T</w:t>
      </w:r>
      <w:r w:rsidR="00881448" w:rsidRPr="008A2060">
        <w:rPr>
          <w:rFonts w:cs="Times"/>
          <w:noProof/>
          <w:szCs w:val="24"/>
        </w:rPr>
        <w:t>riosmium</w:t>
      </w:r>
      <w:r w:rsidRPr="008A2060">
        <w:rPr>
          <w:rFonts w:cs="Times"/>
          <w:noProof/>
          <w:szCs w:val="24"/>
        </w:rPr>
        <w:t xml:space="preserve"> C</w:t>
      </w:r>
      <w:r w:rsidR="00881448" w:rsidRPr="008A2060">
        <w:rPr>
          <w:rFonts w:cs="Times"/>
          <w:noProof/>
          <w:szCs w:val="24"/>
        </w:rPr>
        <w:t>lusters</w:t>
      </w:r>
      <w:r w:rsidRPr="008A2060">
        <w:rPr>
          <w:rFonts w:cs="Times"/>
          <w:noProof/>
          <w:szCs w:val="24"/>
        </w:rPr>
        <w:t xml:space="preserve">. </w:t>
      </w:r>
      <w:r w:rsidRPr="008A2060">
        <w:rPr>
          <w:rFonts w:cs="Times"/>
          <w:i/>
          <w:iCs/>
          <w:noProof/>
          <w:szCs w:val="24"/>
        </w:rPr>
        <w:t>J. Struct. Chem.</w:t>
      </w:r>
      <w:r w:rsidRPr="008A2060">
        <w:rPr>
          <w:rFonts w:cs="Times"/>
          <w:noProof/>
          <w:szCs w:val="24"/>
        </w:rPr>
        <w:t xml:space="preserve"> </w:t>
      </w:r>
      <w:r w:rsidRPr="008A2060">
        <w:rPr>
          <w:rFonts w:cs="Times"/>
          <w:b/>
          <w:bCs/>
          <w:noProof/>
          <w:szCs w:val="24"/>
        </w:rPr>
        <w:t>2009</w:t>
      </w:r>
      <w:r w:rsidRPr="008A2060">
        <w:rPr>
          <w:rFonts w:cs="Times"/>
          <w:noProof/>
          <w:szCs w:val="24"/>
        </w:rPr>
        <w:t xml:space="preserve">, </w:t>
      </w:r>
      <w:r w:rsidRPr="008A2060">
        <w:rPr>
          <w:rFonts w:cs="Times"/>
          <w:i/>
          <w:iCs/>
          <w:noProof/>
          <w:szCs w:val="24"/>
        </w:rPr>
        <w:t>50</w:t>
      </w:r>
      <w:r w:rsidRPr="008A2060">
        <w:rPr>
          <w:rFonts w:cs="Times"/>
          <w:noProof/>
          <w:szCs w:val="24"/>
        </w:rPr>
        <w:t xml:space="preserve"> (5), 143–151.</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(68) </w:t>
      </w:r>
      <w:r w:rsidRPr="008A2060">
        <w:rPr>
          <w:rFonts w:cs="Times"/>
          <w:noProof/>
          <w:szCs w:val="24"/>
        </w:rPr>
        <w:tab/>
        <w:t xml:space="preserve">Ivshina, </w:t>
      </w:r>
      <w:r w:rsidR="00094368" w:rsidRPr="008A2060">
        <w:rPr>
          <w:rFonts w:cs="Times"/>
          <w:noProof/>
          <w:szCs w:val="24"/>
        </w:rPr>
        <w:t>N. N.</w:t>
      </w:r>
      <w:r w:rsidR="00094368">
        <w:rPr>
          <w:rFonts w:cs="Times"/>
          <w:noProof/>
          <w:szCs w:val="24"/>
        </w:rPr>
        <w:t>;</w:t>
      </w:r>
      <w:r w:rsidR="00094368" w:rsidRPr="008A2060">
        <w:rPr>
          <w:rFonts w:cs="Times"/>
          <w:noProof/>
          <w:szCs w:val="24"/>
        </w:rPr>
        <w:t xml:space="preserve"> </w:t>
      </w:r>
      <w:r w:rsidRPr="008A2060">
        <w:rPr>
          <w:rFonts w:cs="Times"/>
          <w:noProof/>
          <w:szCs w:val="24"/>
        </w:rPr>
        <w:t xml:space="preserve">Bartashevich, </w:t>
      </w:r>
      <w:r w:rsidR="00094368" w:rsidRPr="008A2060">
        <w:rPr>
          <w:rFonts w:cs="Times"/>
          <w:noProof/>
          <w:szCs w:val="24"/>
        </w:rPr>
        <w:t>E. V.</w:t>
      </w:r>
      <w:r w:rsidR="00094368">
        <w:rPr>
          <w:rFonts w:cs="Times"/>
          <w:noProof/>
          <w:szCs w:val="24"/>
        </w:rPr>
        <w:t>;</w:t>
      </w:r>
      <w:r w:rsidR="00094368" w:rsidRPr="008A2060">
        <w:rPr>
          <w:rFonts w:cs="Times"/>
          <w:noProof/>
          <w:szCs w:val="24"/>
        </w:rPr>
        <w:t xml:space="preserve"> </w:t>
      </w:r>
      <w:r w:rsidRPr="008A2060">
        <w:rPr>
          <w:rFonts w:cs="Times"/>
          <w:noProof/>
          <w:szCs w:val="24"/>
        </w:rPr>
        <w:t xml:space="preserve">Potemkin, </w:t>
      </w:r>
      <w:r w:rsidR="00094368" w:rsidRPr="008A2060">
        <w:rPr>
          <w:rFonts w:cs="Times"/>
          <w:noProof/>
          <w:szCs w:val="24"/>
        </w:rPr>
        <w:t>V. A.</w:t>
      </w:r>
      <w:r w:rsidR="00094368">
        <w:rPr>
          <w:rFonts w:cs="Times"/>
          <w:noProof/>
          <w:szCs w:val="24"/>
        </w:rPr>
        <w:t>;</w:t>
      </w:r>
      <w:r w:rsidR="00094368" w:rsidRPr="008A2060">
        <w:rPr>
          <w:rFonts w:cs="Times"/>
          <w:noProof/>
          <w:szCs w:val="24"/>
        </w:rPr>
        <w:t xml:space="preserve"> </w:t>
      </w:r>
      <w:r w:rsidRPr="008A2060">
        <w:rPr>
          <w:rFonts w:cs="Times"/>
          <w:noProof/>
          <w:szCs w:val="24"/>
        </w:rPr>
        <w:t xml:space="preserve">Grishina, </w:t>
      </w:r>
      <w:r w:rsidR="00094368" w:rsidRPr="008A2060">
        <w:rPr>
          <w:rFonts w:cs="Times"/>
          <w:noProof/>
          <w:szCs w:val="24"/>
        </w:rPr>
        <w:t>M. A.</w:t>
      </w:r>
      <w:r w:rsidR="00094368">
        <w:rPr>
          <w:rFonts w:cs="Times"/>
          <w:noProof/>
          <w:szCs w:val="24"/>
        </w:rPr>
        <w:t>;</w:t>
      </w:r>
      <w:r w:rsidR="00094368" w:rsidRPr="008A2060">
        <w:rPr>
          <w:rFonts w:cs="Times"/>
          <w:noProof/>
          <w:szCs w:val="24"/>
        </w:rPr>
        <w:t xml:space="preserve"> </w:t>
      </w:r>
      <w:r w:rsidRPr="00400A92">
        <w:rPr>
          <w:rFonts w:cs="Times"/>
          <w:noProof/>
          <w:szCs w:val="24"/>
        </w:rPr>
        <w:t>Ishmetova</w:t>
      </w:r>
      <w:r w:rsidRPr="008A2060">
        <w:rPr>
          <w:rFonts w:cs="Times"/>
          <w:noProof/>
          <w:szCs w:val="24"/>
        </w:rPr>
        <w:t xml:space="preserve">, </w:t>
      </w:r>
      <w:r w:rsidR="00094368" w:rsidRPr="008A2060">
        <w:rPr>
          <w:rFonts w:cs="Times"/>
          <w:noProof/>
          <w:szCs w:val="24"/>
        </w:rPr>
        <w:t>R. I.</w:t>
      </w:r>
      <w:r w:rsidR="00094368">
        <w:rPr>
          <w:rFonts w:cs="Times"/>
          <w:noProof/>
          <w:szCs w:val="24"/>
        </w:rPr>
        <w:t>;</w:t>
      </w:r>
      <w:r w:rsidR="00094368" w:rsidRPr="008A2060">
        <w:rPr>
          <w:rFonts w:cs="Times"/>
          <w:noProof/>
          <w:szCs w:val="24"/>
        </w:rPr>
        <w:t xml:space="preserve"> </w:t>
      </w:r>
      <w:r w:rsidRPr="008A2060">
        <w:rPr>
          <w:rFonts w:cs="Times"/>
          <w:noProof/>
          <w:szCs w:val="24"/>
        </w:rPr>
        <w:t xml:space="preserve">Rusinov, </w:t>
      </w:r>
      <w:r w:rsidR="00094368" w:rsidRPr="008A2060">
        <w:rPr>
          <w:rFonts w:cs="Times"/>
          <w:noProof/>
          <w:szCs w:val="24"/>
        </w:rPr>
        <w:t>G. L.</w:t>
      </w:r>
      <w:r w:rsidR="00094368">
        <w:rPr>
          <w:rFonts w:cs="Times"/>
          <w:noProof/>
          <w:szCs w:val="24"/>
        </w:rPr>
        <w:t>;</w:t>
      </w:r>
      <w:r w:rsidRPr="008A2060">
        <w:rPr>
          <w:rFonts w:cs="Times"/>
          <w:noProof/>
          <w:szCs w:val="24"/>
        </w:rPr>
        <w:t xml:space="preserve"> </w:t>
      </w:r>
      <w:r w:rsidRPr="00400A92">
        <w:rPr>
          <w:rFonts w:cs="Times"/>
          <w:noProof/>
          <w:szCs w:val="24"/>
        </w:rPr>
        <w:t>Latosh</w:t>
      </w:r>
      <w:r w:rsidRPr="008A2060">
        <w:rPr>
          <w:rFonts w:cs="Times"/>
          <w:noProof/>
          <w:szCs w:val="24"/>
        </w:rPr>
        <w:t xml:space="preserve">, </w:t>
      </w:r>
      <w:r w:rsidR="00094368" w:rsidRPr="008A2060">
        <w:rPr>
          <w:rFonts w:cs="Times"/>
          <w:noProof/>
          <w:szCs w:val="24"/>
        </w:rPr>
        <w:t>N. I.</w:t>
      </w:r>
      <w:r w:rsidR="00D36D92">
        <w:rPr>
          <w:rFonts w:cs="Times"/>
          <w:noProof/>
          <w:szCs w:val="24"/>
        </w:rPr>
        <w:t>;</w:t>
      </w:r>
      <w:r w:rsidR="00094368" w:rsidRPr="008A2060">
        <w:rPr>
          <w:rFonts w:cs="Times"/>
          <w:noProof/>
          <w:szCs w:val="24"/>
        </w:rPr>
        <w:t xml:space="preserve"> </w:t>
      </w:r>
      <w:r w:rsidRPr="008A2060">
        <w:rPr>
          <w:rFonts w:cs="Times"/>
          <w:noProof/>
          <w:szCs w:val="24"/>
        </w:rPr>
        <w:t xml:space="preserve">Slepukhin, </w:t>
      </w:r>
      <w:r w:rsidR="00D36D92" w:rsidRPr="008A2060">
        <w:rPr>
          <w:rFonts w:cs="Times"/>
          <w:noProof/>
          <w:szCs w:val="24"/>
        </w:rPr>
        <w:t>P.</w:t>
      </w:r>
      <w:r w:rsidR="00D36D92">
        <w:rPr>
          <w:rFonts w:cs="Times"/>
          <w:noProof/>
          <w:szCs w:val="24"/>
        </w:rPr>
        <w:t>;</w:t>
      </w:r>
      <w:r w:rsidR="00D36D92" w:rsidRPr="008A2060">
        <w:rPr>
          <w:rFonts w:cs="Times"/>
          <w:noProof/>
          <w:szCs w:val="24"/>
        </w:rPr>
        <w:t xml:space="preserve"> </w:t>
      </w:r>
      <w:r w:rsidR="00D36D92">
        <w:rPr>
          <w:rFonts w:cs="Times"/>
          <w:noProof/>
          <w:szCs w:val="24"/>
        </w:rPr>
        <w:t>Charushin,</w:t>
      </w:r>
      <w:r w:rsidRPr="008A2060">
        <w:rPr>
          <w:rFonts w:cs="Times"/>
          <w:noProof/>
          <w:szCs w:val="24"/>
        </w:rPr>
        <w:t xml:space="preserve"> </w:t>
      </w:r>
      <w:r w:rsidR="00D36D92" w:rsidRPr="008A2060">
        <w:rPr>
          <w:rFonts w:cs="Times"/>
          <w:noProof/>
          <w:szCs w:val="24"/>
        </w:rPr>
        <w:t xml:space="preserve">V. N. </w:t>
      </w:r>
      <w:r w:rsidRPr="008A2060">
        <w:rPr>
          <w:rFonts w:cs="Times"/>
          <w:noProof/>
          <w:szCs w:val="24"/>
        </w:rPr>
        <w:t>C</w:t>
      </w:r>
      <w:r w:rsidR="00D36D92" w:rsidRPr="008A2060">
        <w:rPr>
          <w:rFonts w:cs="Times"/>
          <w:noProof/>
          <w:szCs w:val="24"/>
        </w:rPr>
        <w:t>hanges in the</w:t>
      </w:r>
      <w:r w:rsidRPr="008A2060">
        <w:rPr>
          <w:rFonts w:cs="Times"/>
          <w:noProof/>
          <w:szCs w:val="24"/>
        </w:rPr>
        <w:t xml:space="preserve"> V</w:t>
      </w:r>
      <w:r w:rsidR="00D36D92" w:rsidRPr="008A2060">
        <w:rPr>
          <w:rFonts w:cs="Times"/>
          <w:noProof/>
          <w:szCs w:val="24"/>
        </w:rPr>
        <w:t>ibrational</w:t>
      </w:r>
      <w:r w:rsidRPr="008A2060">
        <w:rPr>
          <w:rFonts w:cs="Times"/>
          <w:noProof/>
          <w:szCs w:val="24"/>
        </w:rPr>
        <w:t xml:space="preserve"> C</w:t>
      </w:r>
      <w:r w:rsidR="00D36D92" w:rsidRPr="008A2060">
        <w:rPr>
          <w:rFonts w:cs="Times"/>
          <w:noProof/>
          <w:szCs w:val="24"/>
        </w:rPr>
        <w:t>haracteristics of</w:t>
      </w:r>
      <w:r w:rsidRPr="008A2060">
        <w:rPr>
          <w:rFonts w:cs="Times"/>
          <w:noProof/>
          <w:szCs w:val="24"/>
        </w:rPr>
        <w:t xml:space="preserve"> S</w:t>
      </w:r>
      <w:r w:rsidR="00D36D92" w:rsidRPr="008A2060">
        <w:rPr>
          <w:rFonts w:cs="Times"/>
          <w:noProof/>
          <w:szCs w:val="24"/>
        </w:rPr>
        <w:t>ubstituted</w:t>
      </w:r>
      <w:r w:rsidRPr="008A2060">
        <w:rPr>
          <w:rFonts w:cs="Times"/>
          <w:noProof/>
          <w:szCs w:val="24"/>
        </w:rPr>
        <w:t xml:space="preserve"> 1,2,4,5-</w:t>
      </w:r>
      <w:r w:rsidR="00D36D92" w:rsidRPr="008A2060">
        <w:rPr>
          <w:rFonts w:cs="Times"/>
          <w:noProof/>
          <w:szCs w:val="24"/>
        </w:rPr>
        <w:t>tetrazines after</w:t>
      </w:r>
      <w:r w:rsidRPr="008A2060">
        <w:rPr>
          <w:rFonts w:cs="Times"/>
          <w:noProof/>
          <w:szCs w:val="24"/>
        </w:rPr>
        <w:t xml:space="preserve"> C</w:t>
      </w:r>
      <w:r w:rsidR="00D36D92" w:rsidRPr="008A2060">
        <w:rPr>
          <w:rFonts w:cs="Times"/>
          <w:noProof/>
          <w:szCs w:val="24"/>
        </w:rPr>
        <w:t>omplexation with</w:t>
      </w:r>
      <w:r w:rsidRPr="008A2060">
        <w:rPr>
          <w:rFonts w:cs="Times"/>
          <w:noProof/>
          <w:szCs w:val="24"/>
        </w:rPr>
        <w:t xml:space="preserve"> 1,2,3-</w:t>
      </w:r>
      <w:r w:rsidR="00D36D92" w:rsidRPr="008A2060">
        <w:rPr>
          <w:rFonts w:cs="Times"/>
          <w:noProof/>
          <w:szCs w:val="24"/>
        </w:rPr>
        <w:t>benzotriazole</w:t>
      </w:r>
      <w:r w:rsidRPr="008A2060">
        <w:rPr>
          <w:rFonts w:cs="Times"/>
          <w:noProof/>
          <w:szCs w:val="24"/>
        </w:rPr>
        <w:t>: A T</w:t>
      </w:r>
      <w:r w:rsidR="00D36D92" w:rsidRPr="008A2060">
        <w:rPr>
          <w:rFonts w:cs="Times"/>
          <w:noProof/>
          <w:szCs w:val="24"/>
        </w:rPr>
        <w:t>heoretical</w:t>
      </w:r>
      <w:r w:rsidRPr="008A2060">
        <w:rPr>
          <w:rFonts w:cs="Times"/>
          <w:noProof/>
          <w:szCs w:val="24"/>
        </w:rPr>
        <w:t xml:space="preserve"> S</w:t>
      </w:r>
      <w:r w:rsidR="00D36D92" w:rsidRPr="008A2060">
        <w:rPr>
          <w:rFonts w:cs="Times"/>
          <w:noProof/>
          <w:szCs w:val="24"/>
        </w:rPr>
        <w:t>tudy</w:t>
      </w:r>
      <w:r w:rsidRPr="008A2060">
        <w:rPr>
          <w:rFonts w:cs="Times"/>
          <w:noProof/>
          <w:szCs w:val="24"/>
        </w:rPr>
        <w:t xml:space="preserve">. </w:t>
      </w:r>
      <w:r w:rsidRPr="008A2060">
        <w:rPr>
          <w:rFonts w:cs="Times"/>
          <w:i/>
          <w:iCs/>
          <w:noProof/>
          <w:szCs w:val="24"/>
        </w:rPr>
        <w:t>J. Struct. Chem.</w:t>
      </w:r>
      <w:r w:rsidRPr="008A2060">
        <w:rPr>
          <w:rFonts w:cs="Times"/>
          <w:noProof/>
          <w:szCs w:val="24"/>
        </w:rPr>
        <w:t xml:space="preserve"> </w:t>
      </w:r>
      <w:r w:rsidRPr="008A2060">
        <w:rPr>
          <w:rFonts w:cs="Times"/>
          <w:b/>
          <w:bCs/>
          <w:noProof/>
          <w:szCs w:val="24"/>
        </w:rPr>
        <w:t>2010</w:t>
      </w:r>
      <w:r w:rsidRPr="008A2060">
        <w:rPr>
          <w:rFonts w:cs="Times"/>
          <w:noProof/>
          <w:szCs w:val="24"/>
        </w:rPr>
        <w:t xml:space="preserve">, </w:t>
      </w:r>
      <w:r w:rsidRPr="008A2060">
        <w:rPr>
          <w:rFonts w:cs="Times"/>
          <w:i/>
          <w:iCs/>
          <w:noProof/>
          <w:szCs w:val="24"/>
        </w:rPr>
        <w:t>50</w:t>
      </w:r>
      <w:r w:rsidRPr="008A2060">
        <w:rPr>
          <w:rFonts w:cs="Times"/>
          <w:noProof/>
          <w:szCs w:val="24"/>
        </w:rPr>
        <w:t xml:space="preserve"> (6), 1053–1058.</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(69) </w:t>
      </w:r>
      <w:r w:rsidRPr="008A2060">
        <w:rPr>
          <w:rFonts w:cs="Times"/>
          <w:noProof/>
          <w:szCs w:val="24"/>
        </w:rPr>
        <w:tab/>
        <w:t xml:space="preserve">Manakov, A. Y.; Likhacheva, A. Y.; Potemkin, V. A.; Ogienko, A. G.; Kurnosov, A. V.; Ancharov, A. I. Compressibility of Gas Hydrates. </w:t>
      </w:r>
      <w:r w:rsidRPr="008A2060">
        <w:rPr>
          <w:rFonts w:cs="Times"/>
          <w:i/>
          <w:iCs/>
          <w:noProof/>
          <w:szCs w:val="24"/>
        </w:rPr>
        <w:t>Chem</w:t>
      </w:r>
      <w:r w:rsidR="00D36D92">
        <w:rPr>
          <w:rFonts w:cs="Times"/>
          <w:i/>
          <w:iCs/>
          <w:noProof/>
          <w:szCs w:val="24"/>
        </w:rPr>
        <w:t xml:space="preserve">. </w:t>
      </w:r>
      <w:r w:rsidRPr="008A2060">
        <w:rPr>
          <w:rFonts w:cs="Times"/>
          <w:i/>
          <w:iCs/>
          <w:noProof/>
          <w:szCs w:val="24"/>
        </w:rPr>
        <w:t>Phys</w:t>
      </w:r>
      <w:r w:rsidR="00C955AD">
        <w:rPr>
          <w:rFonts w:cs="Times"/>
          <w:i/>
          <w:iCs/>
          <w:noProof/>
          <w:szCs w:val="24"/>
        </w:rPr>
        <w:t>.</w:t>
      </w:r>
      <w:r w:rsidR="00D36D92">
        <w:rPr>
          <w:rFonts w:cs="Times"/>
          <w:i/>
          <w:iCs/>
          <w:noProof/>
          <w:szCs w:val="24"/>
        </w:rPr>
        <w:t xml:space="preserve"> </w:t>
      </w:r>
      <w:r w:rsidRPr="008A2060">
        <w:rPr>
          <w:rFonts w:cs="Times"/>
          <w:i/>
          <w:iCs/>
          <w:noProof/>
          <w:szCs w:val="24"/>
        </w:rPr>
        <w:t>Chem</w:t>
      </w:r>
      <w:r w:rsidR="00C955AD">
        <w:rPr>
          <w:rFonts w:cs="Times"/>
          <w:i/>
          <w:iCs/>
          <w:noProof/>
          <w:szCs w:val="24"/>
        </w:rPr>
        <w:t>.</w:t>
      </w:r>
      <w:r w:rsidRPr="008A2060">
        <w:rPr>
          <w:rFonts w:cs="Times"/>
          <w:noProof/>
          <w:szCs w:val="24"/>
        </w:rPr>
        <w:t xml:space="preserve"> </w:t>
      </w:r>
      <w:r w:rsidRPr="008A2060">
        <w:rPr>
          <w:rFonts w:cs="Times"/>
          <w:b/>
          <w:bCs/>
          <w:noProof/>
          <w:szCs w:val="24"/>
        </w:rPr>
        <w:t>2011</w:t>
      </w:r>
      <w:r w:rsidRPr="008A2060">
        <w:rPr>
          <w:rFonts w:cs="Times"/>
          <w:noProof/>
          <w:szCs w:val="24"/>
        </w:rPr>
        <w:t xml:space="preserve">, </w:t>
      </w:r>
      <w:r w:rsidRPr="008A2060">
        <w:rPr>
          <w:rFonts w:cs="Times"/>
          <w:i/>
          <w:iCs/>
          <w:noProof/>
          <w:szCs w:val="24"/>
        </w:rPr>
        <w:t>12</w:t>
      </w:r>
      <w:r w:rsidRPr="008A2060">
        <w:rPr>
          <w:rFonts w:cs="Times"/>
          <w:noProof/>
          <w:szCs w:val="24"/>
        </w:rPr>
        <w:t xml:space="preserve"> (13), 2476–2484.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(70) </w:t>
      </w:r>
      <w:r w:rsidRPr="008A2060">
        <w:rPr>
          <w:rFonts w:cs="Times"/>
          <w:noProof/>
          <w:szCs w:val="24"/>
        </w:rPr>
        <w:tab/>
        <w:t xml:space="preserve">Fleming, G. J.; Adib, K.; Rodriguez, J. A.; Barteau, M. A.; Idriss, </w:t>
      </w:r>
      <w:r w:rsidR="00D36D92">
        <w:rPr>
          <w:rFonts w:cs="Times"/>
          <w:noProof/>
          <w:szCs w:val="24"/>
        </w:rPr>
        <w:t>H. Proline Adsorption on TiO</w:t>
      </w:r>
      <w:r w:rsidR="00D36D92" w:rsidRPr="00D36D92">
        <w:rPr>
          <w:rFonts w:cs="Times"/>
          <w:noProof/>
          <w:szCs w:val="24"/>
          <w:vertAlign w:val="subscript"/>
        </w:rPr>
        <w:t>2</w:t>
      </w:r>
      <w:r w:rsidR="00C955AD" w:rsidRPr="00C955AD">
        <w:rPr>
          <w:rFonts w:cs="Times"/>
          <w:noProof/>
          <w:szCs w:val="24"/>
        </w:rPr>
        <w:t xml:space="preserve"> </w:t>
      </w:r>
      <w:r w:rsidR="00D36D92">
        <w:rPr>
          <w:rFonts w:cs="Times"/>
          <w:noProof/>
          <w:szCs w:val="24"/>
        </w:rPr>
        <w:t>(11</w:t>
      </w:r>
      <w:r w:rsidRPr="008A2060">
        <w:rPr>
          <w:rFonts w:cs="Times"/>
          <w:noProof/>
          <w:szCs w:val="24"/>
        </w:rPr>
        <w:t xml:space="preserve">0) Single Crystal Surface: A Study by High Resolution Photoelectron Spectroscopy. </w:t>
      </w:r>
      <w:r w:rsidRPr="008A2060">
        <w:rPr>
          <w:rFonts w:cs="Times"/>
          <w:i/>
          <w:iCs/>
          <w:noProof/>
          <w:szCs w:val="24"/>
        </w:rPr>
        <w:t>Surf. Sci.</w:t>
      </w:r>
      <w:r w:rsidRPr="008A2060">
        <w:rPr>
          <w:rFonts w:cs="Times"/>
          <w:noProof/>
          <w:szCs w:val="24"/>
        </w:rPr>
        <w:t xml:space="preserve"> </w:t>
      </w:r>
      <w:r w:rsidRPr="008A2060">
        <w:rPr>
          <w:rFonts w:cs="Times"/>
          <w:b/>
          <w:bCs/>
          <w:noProof/>
          <w:szCs w:val="24"/>
        </w:rPr>
        <w:t>2007</w:t>
      </w:r>
      <w:r w:rsidRPr="008A2060">
        <w:rPr>
          <w:rFonts w:cs="Times"/>
          <w:noProof/>
          <w:szCs w:val="24"/>
        </w:rPr>
        <w:t xml:space="preserve">, </w:t>
      </w:r>
      <w:r w:rsidRPr="008A2060">
        <w:rPr>
          <w:rFonts w:cs="Times"/>
          <w:i/>
          <w:iCs/>
          <w:noProof/>
          <w:szCs w:val="24"/>
        </w:rPr>
        <w:t>601</w:t>
      </w:r>
      <w:r w:rsidRPr="008A2060">
        <w:rPr>
          <w:rFonts w:cs="Times"/>
          <w:noProof/>
          <w:szCs w:val="24"/>
        </w:rPr>
        <w:t xml:space="preserve"> (24), 5726–5731.</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(71) </w:t>
      </w:r>
      <w:r w:rsidRPr="008A2060">
        <w:rPr>
          <w:rFonts w:cs="Times"/>
          <w:noProof/>
          <w:szCs w:val="24"/>
        </w:rPr>
        <w:tab/>
        <w:t xml:space="preserve">Szieberth, D.; Maria Ferrari, A.; Dong, X. Adsorption of Glycine on the Anatase (101) Surface: An Ab Initio Study. </w:t>
      </w:r>
      <w:r w:rsidRPr="008A2060">
        <w:rPr>
          <w:rFonts w:cs="Times"/>
          <w:i/>
          <w:iCs/>
          <w:noProof/>
          <w:szCs w:val="24"/>
        </w:rPr>
        <w:t>Phys. Chem. Chem. Phys.</w:t>
      </w:r>
      <w:r w:rsidRPr="008A2060">
        <w:rPr>
          <w:rFonts w:cs="Times"/>
          <w:noProof/>
          <w:szCs w:val="24"/>
        </w:rPr>
        <w:t xml:space="preserve"> </w:t>
      </w:r>
      <w:r w:rsidRPr="008A2060">
        <w:rPr>
          <w:rFonts w:cs="Times"/>
          <w:b/>
          <w:bCs/>
          <w:noProof/>
          <w:szCs w:val="24"/>
        </w:rPr>
        <w:t>2010</w:t>
      </w:r>
      <w:r w:rsidR="00D36D92">
        <w:rPr>
          <w:rFonts w:cs="Times"/>
          <w:noProof/>
          <w:szCs w:val="24"/>
        </w:rPr>
        <w:t xml:space="preserve">, </w:t>
      </w:r>
      <w:r w:rsidR="00D36D92" w:rsidRPr="00D36D92">
        <w:rPr>
          <w:rFonts w:cs="Times"/>
          <w:i/>
          <w:noProof/>
          <w:szCs w:val="24"/>
        </w:rPr>
        <w:t>12</w:t>
      </w:r>
      <w:r w:rsidR="00D36D92">
        <w:rPr>
          <w:rFonts w:cs="Times"/>
          <w:noProof/>
          <w:szCs w:val="24"/>
        </w:rPr>
        <w:t xml:space="preserve"> (36), 11033</w:t>
      </w:r>
      <w:r w:rsidR="00D36D92" w:rsidRPr="008A2060">
        <w:rPr>
          <w:rFonts w:cs="Times"/>
          <w:noProof/>
          <w:szCs w:val="24"/>
        </w:rPr>
        <w:t>–</w:t>
      </w:r>
      <w:r w:rsidR="00D36D92">
        <w:rPr>
          <w:rFonts w:cs="Times"/>
          <w:noProof/>
          <w:szCs w:val="24"/>
        </w:rPr>
        <w:t>11040.</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(72) </w:t>
      </w:r>
      <w:r w:rsidRPr="008A2060">
        <w:rPr>
          <w:rFonts w:cs="Times"/>
          <w:noProof/>
          <w:szCs w:val="24"/>
        </w:rPr>
        <w:tab/>
        <w:t>Muir, J. M. R.; Idriss, H. Computational Study of Cysteine Interaction with the Rutile TiO</w:t>
      </w:r>
      <w:r w:rsidRPr="00D36D92">
        <w:rPr>
          <w:rFonts w:cs="Times"/>
          <w:noProof/>
          <w:szCs w:val="24"/>
          <w:vertAlign w:val="subscript"/>
        </w:rPr>
        <w:t>2</w:t>
      </w:r>
      <w:r w:rsidRPr="008A2060">
        <w:rPr>
          <w:rFonts w:cs="Times"/>
          <w:noProof/>
          <w:szCs w:val="24"/>
        </w:rPr>
        <w:t xml:space="preserve">(110) Surface. </w:t>
      </w:r>
      <w:r w:rsidRPr="008A2060">
        <w:rPr>
          <w:rFonts w:cs="Times"/>
          <w:i/>
          <w:iCs/>
          <w:noProof/>
          <w:szCs w:val="24"/>
        </w:rPr>
        <w:t>Surf. Sci.</w:t>
      </w:r>
      <w:r w:rsidRPr="008A2060">
        <w:rPr>
          <w:rFonts w:cs="Times"/>
          <w:noProof/>
          <w:szCs w:val="24"/>
        </w:rPr>
        <w:t xml:space="preserve"> </w:t>
      </w:r>
      <w:r w:rsidRPr="008A2060">
        <w:rPr>
          <w:rFonts w:cs="Times"/>
          <w:b/>
          <w:bCs/>
          <w:noProof/>
          <w:szCs w:val="24"/>
        </w:rPr>
        <w:t>2013</w:t>
      </w:r>
      <w:r w:rsidR="00D36D92">
        <w:rPr>
          <w:rFonts w:cs="Times"/>
          <w:noProof/>
          <w:szCs w:val="24"/>
        </w:rPr>
        <w:t xml:space="preserve">, </w:t>
      </w:r>
      <w:r w:rsidR="00D36D92" w:rsidRPr="00D36D92">
        <w:rPr>
          <w:rFonts w:cs="Times"/>
          <w:i/>
          <w:noProof/>
          <w:szCs w:val="24"/>
        </w:rPr>
        <w:t>617</w:t>
      </w:r>
      <w:r w:rsidR="00D36D92">
        <w:rPr>
          <w:rFonts w:cs="Times"/>
          <w:noProof/>
          <w:szCs w:val="24"/>
        </w:rPr>
        <w:t>, 60</w:t>
      </w:r>
      <w:r w:rsidR="00D36D92" w:rsidRPr="008A2060">
        <w:rPr>
          <w:rFonts w:cs="Times"/>
          <w:noProof/>
          <w:szCs w:val="24"/>
        </w:rPr>
        <w:t>–</w:t>
      </w:r>
      <w:r w:rsidR="00D36D92">
        <w:rPr>
          <w:rFonts w:cs="Times"/>
          <w:noProof/>
          <w:szCs w:val="24"/>
        </w:rPr>
        <w:t>67.</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(73) </w:t>
      </w:r>
      <w:r w:rsidRPr="008A2060">
        <w:rPr>
          <w:rFonts w:cs="Times"/>
          <w:noProof/>
          <w:szCs w:val="24"/>
        </w:rPr>
        <w:tab/>
        <w:t xml:space="preserve">Deiana, C.; Sakhno, Y.; </w:t>
      </w:r>
      <w:r w:rsidRPr="00400A92">
        <w:rPr>
          <w:rFonts w:cs="Times"/>
          <w:noProof/>
          <w:szCs w:val="24"/>
        </w:rPr>
        <w:t>Fabbiani</w:t>
      </w:r>
      <w:r w:rsidRPr="008A2060">
        <w:rPr>
          <w:rFonts w:cs="Times"/>
          <w:noProof/>
          <w:szCs w:val="24"/>
        </w:rPr>
        <w:t xml:space="preserve">, M.; Pazzi, M.; Vincenti, M.; </w:t>
      </w:r>
      <w:r w:rsidRPr="00400A92">
        <w:rPr>
          <w:rFonts w:cs="Times"/>
          <w:noProof/>
          <w:szCs w:val="24"/>
        </w:rPr>
        <w:t>Martra</w:t>
      </w:r>
      <w:r w:rsidRPr="008A2060">
        <w:rPr>
          <w:rFonts w:cs="Times"/>
          <w:noProof/>
          <w:szCs w:val="24"/>
        </w:rPr>
        <w:t xml:space="preserve">, G. Direct Synthesis of Amides from Carboxylic Acids and Amines by Using Heterogeneous Catalysts: Evidence of Surface Carboxylates as Activated Electrophilic Species. </w:t>
      </w:r>
      <w:r w:rsidRPr="008A2060">
        <w:rPr>
          <w:rFonts w:cs="Times"/>
          <w:i/>
          <w:iCs/>
          <w:noProof/>
          <w:szCs w:val="24"/>
        </w:rPr>
        <w:t>Chem</w:t>
      </w:r>
      <w:r w:rsidR="00D36D92">
        <w:rPr>
          <w:rFonts w:cs="Times"/>
          <w:i/>
          <w:iCs/>
          <w:noProof/>
          <w:szCs w:val="24"/>
        </w:rPr>
        <w:t xml:space="preserve">. </w:t>
      </w:r>
      <w:r w:rsidRPr="008A2060">
        <w:rPr>
          <w:rFonts w:cs="Times"/>
          <w:i/>
          <w:iCs/>
          <w:noProof/>
          <w:szCs w:val="24"/>
        </w:rPr>
        <w:t>Cat</w:t>
      </w:r>
      <w:r w:rsidR="00D36D92">
        <w:rPr>
          <w:rFonts w:cs="Times"/>
          <w:i/>
          <w:iCs/>
          <w:noProof/>
          <w:szCs w:val="24"/>
        </w:rPr>
        <w:t xml:space="preserve">. </w:t>
      </w:r>
      <w:r w:rsidRPr="008A2060">
        <w:rPr>
          <w:rFonts w:cs="Times"/>
          <w:i/>
          <w:iCs/>
          <w:noProof/>
          <w:szCs w:val="24"/>
        </w:rPr>
        <w:t>Chem</w:t>
      </w:r>
      <w:r w:rsidR="00D36D92">
        <w:rPr>
          <w:rFonts w:cs="Times"/>
          <w:i/>
          <w:iCs/>
          <w:noProof/>
          <w:szCs w:val="24"/>
        </w:rPr>
        <w:t>.</w:t>
      </w:r>
      <w:r w:rsidRPr="008A2060">
        <w:rPr>
          <w:rFonts w:cs="Times"/>
          <w:noProof/>
          <w:szCs w:val="24"/>
        </w:rPr>
        <w:t xml:space="preserve"> </w:t>
      </w:r>
      <w:r w:rsidRPr="008A2060">
        <w:rPr>
          <w:rFonts w:cs="Times"/>
          <w:b/>
          <w:bCs/>
          <w:noProof/>
          <w:szCs w:val="24"/>
        </w:rPr>
        <w:t>2013</w:t>
      </w:r>
      <w:r w:rsidR="00D36D92">
        <w:rPr>
          <w:rFonts w:cs="Times"/>
          <w:noProof/>
          <w:szCs w:val="24"/>
        </w:rPr>
        <w:t xml:space="preserve">, </w:t>
      </w:r>
      <w:r w:rsidR="00D36D92" w:rsidRPr="00D36D92">
        <w:rPr>
          <w:rFonts w:cs="Times"/>
          <w:i/>
          <w:noProof/>
          <w:szCs w:val="24"/>
        </w:rPr>
        <w:t>5</w:t>
      </w:r>
      <w:r w:rsidR="00D36D92">
        <w:rPr>
          <w:rFonts w:cs="Times"/>
          <w:noProof/>
          <w:szCs w:val="24"/>
        </w:rPr>
        <w:t xml:space="preserve"> (10), 2832</w:t>
      </w:r>
      <w:r w:rsidR="00D36D92" w:rsidRPr="008A2060">
        <w:rPr>
          <w:rFonts w:cs="Times"/>
          <w:noProof/>
          <w:szCs w:val="24"/>
        </w:rPr>
        <w:t>–</w:t>
      </w:r>
      <w:r w:rsidR="00D36D92">
        <w:rPr>
          <w:rFonts w:cs="Times"/>
          <w:noProof/>
          <w:szCs w:val="24"/>
        </w:rPr>
        <w:t>2834.</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(74) </w:t>
      </w:r>
      <w:r w:rsidRPr="008A2060">
        <w:rPr>
          <w:rFonts w:cs="Times"/>
          <w:noProof/>
          <w:szCs w:val="24"/>
        </w:rPr>
        <w:tab/>
        <w:t>Tonner, R. Adsorption of Proline and Glycine on the TiO</w:t>
      </w:r>
      <w:r w:rsidRPr="00D36D92">
        <w:rPr>
          <w:rFonts w:cs="Times"/>
          <w:noProof/>
          <w:szCs w:val="24"/>
          <w:vertAlign w:val="subscript"/>
        </w:rPr>
        <w:t>2</w:t>
      </w:r>
      <w:r w:rsidR="00C955AD" w:rsidRPr="00C955AD">
        <w:rPr>
          <w:rFonts w:cs="Times"/>
          <w:noProof/>
          <w:szCs w:val="24"/>
        </w:rPr>
        <w:t xml:space="preserve"> </w:t>
      </w:r>
      <w:r w:rsidRPr="008A2060">
        <w:rPr>
          <w:rFonts w:cs="Times"/>
          <w:noProof/>
          <w:szCs w:val="24"/>
        </w:rPr>
        <w:t xml:space="preserve">(110) Surface: A Density Functional Theory Study. </w:t>
      </w:r>
      <w:r w:rsidRPr="008A2060">
        <w:rPr>
          <w:rFonts w:cs="Times"/>
          <w:i/>
          <w:iCs/>
          <w:noProof/>
          <w:szCs w:val="24"/>
        </w:rPr>
        <w:t>Chem</w:t>
      </w:r>
      <w:r w:rsidR="00D36D92">
        <w:rPr>
          <w:rFonts w:cs="Times"/>
          <w:i/>
          <w:iCs/>
          <w:noProof/>
          <w:szCs w:val="24"/>
        </w:rPr>
        <w:t xml:space="preserve">. </w:t>
      </w:r>
      <w:r w:rsidRPr="008A2060">
        <w:rPr>
          <w:rFonts w:cs="Times"/>
          <w:i/>
          <w:iCs/>
          <w:noProof/>
          <w:szCs w:val="24"/>
        </w:rPr>
        <w:t>Phys</w:t>
      </w:r>
      <w:r w:rsidR="00D36D92">
        <w:rPr>
          <w:rFonts w:cs="Times"/>
          <w:i/>
          <w:iCs/>
          <w:noProof/>
          <w:szCs w:val="24"/>
        </w:rPr>
        <w:t xml:space="preserve">. </w:t>
      </w:r>
      <w:r w:rsidRPr="008A2060">
        <w:rPr>
          <w:rFonts w:cs="Times"/>
          <w:i/>
          <w:iCs/>
          <w:noProof/>
          <w:szCs w:val="24"/>
        </w:rPr>
        <w:t>Chem</w:t>
      </w:r>
      <w:r w:rsidR="00D36D92">
        <w:rPr>
          <w:rFonts w:cs="Times"/>
          <w:i/>
          <w:iCs/>
          <w:noProof/>
          <w:szCs w:val="24"/>
        </w:rPr>
        <w:t>.</w:t>
      </w:r>
      <w:r w:rsidRPr="008A2060">
        <w:rPr>
          <w:rFonts w:cs="Times"/>
          <w:noProof/>
          <w:szCs w:val="24"/>
        </w:rPr>
        <w:t xml:space="preserve"> </w:t>
      </w:r>
      <w:r w:rsidRPr="008A2060">
        <w:rPr>
          <w:rFonts w:cs="Times"/>
          <w:b/>
          <w:bCs/>
          <w:noProof/>
          <w:szCs w:val="24"/>
        </w:rPr>
        <w:t>2010</w:t>
      </w:r>
      <w:r w:rsidR="00D36D92">
        <w:rPr>
          <w:rFonts w:cs="Times"/>
          <w:noProof/>
          <w:szCs w:val="24"/>
        </w:rPr>
        <w:t xml:space="preserve">, </w:t>
      </w:r>
      <w:r w:rsidR="00D36D92" w:rsidRPr="00D36D92">
        <w:rPr>
          <w:rFonts w:cs="Times"/>
          <w:i/>
          <w:noProof/>
          <w:szCs w:val="24"/>
        </w:rPr>
        <w:t>11</w:t>
      </w:r>
      <w:r w:rsidR="00D36D92">
        <w:rPr>
          <w:rFonts w:cs="Times"/>
          <w:noProof/>
          <w:szCs w:val="24"/>
        </w:rPr>
        <w:t xml:space="preserve"> (5), 1053</w:t>
      </w:r>
      <w:r w:rsidR="00D36D92" w:rsidRPr="008A2060">
        <w:rPr>
          <w:rFonts w:cs="Times"/>
          <w:noProof/>
          <w:szCs w:val="24"/>
        </w:rPr>
        <w:t>–</w:t>
      </w:r>
      <w:r w:rsidR="00D36D92">
        <w:rPr>
          <w:rFonts w:cs="Times"/>
          <w:noProof/>
          <w:szCs w:val="24"/>
        </w:rPr>
        <w:t>1061.</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lastRenderedPageBreak/>
        <w:t xml:space="preserve">(75) </w:t>
      </w:r>
      <w:r w:rsidRPr="008A2060">
        <w:rPr>
          <w:rFonts w:cs="Times"/>
          <w:noProof/>
          <w:szCs w:val="24"/>
        </w:rPr>
        <w:tab/>
        <w:t>Fleming, G. J.; Adib, K.; Rodriguez, J. A.; Barteau, M. A.; White, J. M.; Idriss, H. The Adsorption and Reactions of the Amin</w:t>
      </w:r>
      <w:r w:rsidR="00D36D92">
        <w:rPr>
          <w:rFonts w:cs="Times"/>
          <w:noProof/>
          <w:szCs w:val="24"/>
        </w:rPr>
        <w:t>o Acid Proline on Rutile TiO</w:t>
      </w:r>
      <w:r w:rsidR="00D36D92" w:rsidRPr="00D36D92">
        <w:rPr>
          <w:rFonts w:cs="Times"/>
          <w:noProof/>
          <w:szCs w:val="24"/>
          <w:vertAlign w:val="subscript"/>
        </w:rPr>
        <w:t>2</w:t>
      </w:r>
      <w:r w:rsidR="00C955AD" w:rsidRPr="00C955AD">
        <w:rPr>
          <w:rFonts w:cs="Times"/>
          <w:noProof/>
          <w:szCs w:val="24"/>
        </w:rPr>
        <w:t xml:space="preserve"> </w:t>
      </w:r>
      <w:r w:rsidR="00D36D92">
        <w:rPr>
          <w:rFonts w:cs="Times"/>
          <w:noProof/>
          <w:szCs w:val="24"/>
        </w:rPr>
        <w:t>(11</w:t>
      </w:r>
      <w:r w:rsidRPr="008A2060">
        <w:rPr>
          <w:rFonts w:cs="Times"/>
          <w:noProof/>
          <w:szCs w:val="24"/>
        </w:rPr>
        <w:t xml:space="preserve">0) Surfaces. </w:t>
      </w:r>
      <w:r w:rsidRPr="008A2060">
        <w:rPr>
          <w:rFonts w:cs="Times"/>
          <w:i/>
          <w:iCs/>
          <w:noProof/>
          <w:szCs w:val="24"/>
        </w:rPr>
        <w:t>Surf. Sci.</w:t>
      </w:r>
      <w:r w:rsidRPr="008A2060">
        <w:rPr>
          <w:rFonts w:cs="Times"/>
          <w:noProof/>
          <w:szCs w:val="24"/>
        </w:rPr>
        <w:t xml:space="preserve"> </w:t>
      </w:r>
      <w:r w:rsidRPr="008A2060">
        <w:rPr>
          <w:rFonts w:cs="Times"/>
          <w:b/>
          <w:bCs/>
          <w:noProof/>
          <w:szCs w:val="24"/>
        </w:rPr>
        <w:t>2008</w:t>
      </w:r>
      <w:r w:rsidR="00D36D92">
        <w:rPr>
          <w:rFonts w:cs="Times"/>
          <w:noProof/>
          <w:szCs w:val="24"/>
        </w:rPr>
        <w:t xml:space="preserve">, </w:t>
      </w:r>
      <w:r w:rsidR="00D36D92" w:rsidRPr="00D36D92">
        <w:rPr>
          <w:rFonts w:cs="Times"/>
          <w:i/>
          <w:noProof/>
          <w:szCs w:val="24"/>
        </w:rPr>
        <w:t>602</w:t>
      </w:r>
      <w:r w:rsidR="00D36D92">
        <w:rPr>
          <w:rFonts w:cs="Times"/>
          <w:noProof/>
          <w:szCs w:val="24"/>
        </w:rPr>
        <w:t xml:space="preserve"> (12), 2029</w:t>
      </w:r>
      <w:r w:rsidR="00D36D92" w:rsidRPr="008A2060">
        <w:rPr>
          <w:rFonts w:cs="Times"/>
          <w:noProof/>
          <w:szCs w:val="24"/>
        </w:rPr>
        <w:t>–</w:t>
      </w:r>
      <w:r w:rsidR="00D36D92">
        <w:rPr>
          <w:rFonts w:cs="Times"/>
          <w:noProof/>
          <w:szCs w:val="24"/>
        </w:rPr>
        <w:t>2038.</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(76) </w:t>
      </w:r>
      <w:r w:rsidRPr="008A2060">
        <w:rPr>
          <w:rFonts w:cs="Times"/>
          <w:noProof/>
          <w:szCs w:val="24"/>
        </w:rPr>
        <w:tab/>
        <w:t>Qiu, T. Z.; Barteau, M. A. STM Study of Glycine on TiO</w:t>
      </w:r>
      <w:r w:rsidRPr="00D36D92">
        <w:rPr>
          <w:rFonts w:cs="Times"/>
          <w:noProof/>
          <w:szCs w:val="24"/>
          <w:vertAlign w:val="subscript"/>
        </w:rPr>
        <w:t>2</w:t>
      </w:r>
      <w:r w:rsidR="00C955AD" w:rsidRPr="00C955AD">
        <w:rPr>
          <w:rFonts w:cs="Times"/>
          <w:noProof/>
          <w:szCs w:val="24"/>
        </w:rPr>
        <w:t xml:space="preserve"> </w:t>
      </w:r>
      <w:r w:rsidRPr="008A2060">
        <w:rPr>
          <w:rFonts w:cs="Times"/>
          <w:noProof/>
          <w:szCs w:val="24"/>
        </w:rPr>
        <w:t xml:space="preserve">(110) </w:t>
      </w:r>
      <w:r w:rsidRPr="00400A92">
        <w:rPr>
          <w:rFonts w:cs="Times"/>
          <w:noProof/>
          <w:szCs w:val="24"/>
        </w:rPr>
        <w:t>Single Crystal</w:t>
      </w:r>
      <w:r w:rsidRPr="008A2060">
        <w:rPr>
          <w:rFonts w:cs="Times"/>
          <w:noProof/>
          <w:szCs w:val="24"/>
        </w:rPr>
        <w:t xml:space="preserve"> Surfaces. </w:t>
      </w:r>
      <w:r w:rsidRPr="008A2060">
        <w:rPr>
          <w:rFonts w:cs="Times"/>
          <w:i/>
          <w:iCs/>
          <w:noProof/>
          <w:szCs w:val="24"/>
        </w:rPr>
        <w:t>J. Colloid Interface Sci.</w:t>
      </w:r>
      <w:r w:rsidRPr="008A2060">
        <w:rPr>
          <w:rFonts w:cs="Times"/>
          <w:noProof/>
          <w:szCs w:val="24"/>
        </w:rPr>
        <w:t xml:space="preserve"> </w:t>
      </w:r>
      <w:r w:rsidRPr="008A2060">
        <w:rPr>
          <w:rFonts w:cs="Times"/>
          <w:b/>
          <w:bCs/>
          <w:noProof/>
          <w:szCs w:val="24"/>
        </w:rPr>
        <w:t>2006</w:t>
      </w:r>
      <w:r w:rsidR="00D36D92">
        <w:rPr>
          <w:rFonts w:cs="Times"/>
          <w:noProof/>
          <w:szCs w:val="24"/>
        </w:rPr>
        <w:t xml:space="preserve">, </w:t>
      </w:r>
      <w:r w:rsidR="00D36D92" w:rsidRPr="00D36D92">
        <w:rPr>
          <w:rFonts w:cs="Times"/>
          <w:i/>
          <w:noProof/>
          <w:szCs w:val="24"/>
        </w:rPr>
        <w:t>303</w:t>
      </w:r>
      <w:r w:rsidR="00D36D92">
        <w:rPr>
          <w:rFonts w:cs="Times"/>
          <w:noProof/>
          <w:szCs w:val="24"/>
        </w:rPr>
        <w:t xml:space="preserve"> (1), 229</w:t>
      </w:r>
      <w:r w:rsidR="00D36D92" w:rsidRPr="008A2060">
        <w:rPr>
          <w:rFonts w:cs="Times"/>
          <w:noProof/>
          <w:szCs w:val="24"/>
        </w:rPr>
        <w:t>–</w:t>
      </w:r>
      <w:r w:rsidR="00D36D92">
        <w:rPr>
          <w:rFonts w:cs="Times"/>
          <w:noProof/>
          <w:szCs w:val="24"/>
        </w:rPr>
        <w:t>235.</w:t>
      </w:r>
    </w:p>
    <w:p w:rsidR="008A2060" w:rsidRPr="008A2060" w:rsidRDefault="008A2060" w:rsidP="008A2060">
      <w:pPr>
        <w:widowControl w:val="0"/>
        <w:autoSpaceDE w:val="0"/>
        <w:autoSpaceDN w:val="0"/>
        <w:adjustRightInd w:val="0"/>
        <w:spacing w:line="480" w:lineRule="auto"/>
        <w:ind w:left="640" w:hanging="640"/>
        <w:rPr>
          <w:rFonts w:cs="Times"/>
          <w:noProof/>
          <w:szCs w:val="24"/>
        </w:rPr>
      </w:pPr>
      <w:r w:rsidRPr="008A2060">
        <w:rPr>
          <w:rFonts w:cs="Times"/>
          <w:noProof/>
          <w:szCs w:val="24"/>
        </w:rPr>
        <w:t xml:space="preserve">(77) </w:t>
      </w:r>
      <w:r w:rsidRPr="008A2060">
        <w:rPr>
          <w:rFonts w:cs="Times"/>
          <w:noProof/>
          <w:szCs w:val="24"/>
        </w:rPr>
        <w:tab/>
        <w:t>Ojamäe, L.; Aulin, C.; Pedersen, H.; Käll, P. O. IR and Quantum-Chemical Studies of Carboxylic Acid and Glycine Adsorption on Rutile TiO</w:t>
      </w:r>
      <w:r w:rsidRPr="00D36D92">
        <w:rPr>
          <w:rFonts w:cs="Times"/>
          <w:noProof/>
          <w:szCs w:val="24"/>
          <w:vertAlign w:val="subscript"/>
        </w:rPr>
        <w:t>2</w:t>
      </w:r>
      <w:r w:rsidR="00D36D92">
        <w:rPr>
          <w:rFonts w:cs="Times"/>
          <w:noProof/>
          <w:szCs w:val="24"/>
        </w:rPr>
        <w:t xml:space="preserve"> </w:t>
      </w:r>
      <w:r w:rsidRPr="008A2060">
        <w:rPr>
          <w:rFonts w:cs="Times"/>
          <w:noProof/>
          <w:szCs w:val="24"/>
        </w:rPr>
        <w:t xml:space="preserve">nanoparticles. </w:t>
      </w:r>
      <w:r w:rsidRPr="008A2060">
        <w:rPr>
          <w:rFonts w:cs="Times"/>
          <w:i/>
          <w:iCs/>
          <w:noProof/>
          <w:szCs w:val="24"/>
        </w:rPr>
        <w:t>J. Colloid Interface Sci.</w:t>
      </w:r>
      <w:r w:rsidRPr="008A2060">
        <w:rPr>
          <w:rFonts w:cs="Times"/>
          <w:noProof/>
          <w:szCs w:val="24"/>
        </w:rPr>
        <w:t xml:space="preserve"> </w:t>
      </w:r>
      <w:r w:rsidRPr="008A2060">
        <w:rPr>
          <w:rFonts w:cs="Times"/>
          <w:b/>
          <w:bCs/>
          <w:noProof/>
          <w:szCs w:val="24"/>
        </w:rPr>
        <w:t>2006</w:t>
      </w:r>
      <w:r w:rsidR="00D36D92">
        <w:rPr>
          <w:rFonts w:cs="Times"/>
          <w:noProof/>
          <w:szCs w:val="24"/>
        </w:rPr>
        <w:t xml:space="preserve">, </w:t>
      </w:r>
      <w:r w:rsidR="00D36D92" w:rsidRPr="00D36D92">
        <w:rPr>
          <w:rFonts w:cs="Times"/>
          <w:i/>
          <w:noProof/>
          <w:szCs w:val="24"/>
        </w:rPr>
        <w:t>296</w:t>
      </w:r>
      <w:r w:rsidR="00D36D92">
        <w:rPr>
          <w:rFonts w:cs="Times"/>
          <w:noProof/>
          <w:szCs w:val="24"/>
        </w:rPr>
        <w:t xml:space="preserve"> (1), 71</w:t>
      </w:r>
      <w:r w:rsidR="00D36D92" w:rsidRPr="008A2060">
        <w:rPr>
          <w:rFonts w:cs="Times"/>
          <w:noProof/>
          <w:szCs w:val="24"/>
        </w:rPr>
        <w:t>–</w:t>
      </w:r>
      <w:r w:rsidR="00D36D92">
        <w:rPr>
          <w:rFonts w:cs="Times"/>
          <w:noProof/>
          <w:szCs w:val="24"/>
        </w:rPr>
        <w:t>78.</w:t>
      </w:r>
    </w:p>
    <w:p w:rsidR="008A2060" w:rsidRPr="008A2060" w:rsidRDefault="008A2060" w:rsidP="008A2060">
      <w:pPr>
        <w:widowControl w:val="0"/>
        <w:autoSpaceDE w:val="0"/>
        <w:autoSpaceDN w:val="0"/>
        <w:adjustRightInd w:val="0"/>
        <w:spacing w:line="480" w:lineRule="auto"/>
        <w:ind w:left="640" w:hanging="640"/>
        <w:rPr>
          <w:rFonts w:cs="Times"/>
          <w:noProof/>
        </w:rPr>
      </w:pPr>
      <w:r w:rsidRPr="008A2060">
        <w:rPr>
          <w:rFonts w:cs="Times"/>
          <w:noProof/>
          <w:szCs w:val="24"/>
        </w:rPr>
        <w:t xml:space="preserve">(78) </w:t>
      </w:r>
      <w:r w:rsidRPr="008A2060">
        <w:rPr>
          <w:rFonts w:cs="Times"/>
          <w:noProof/>
          <w:szCs w:val="24"/>
        </w:rPr>
        <w:tab/>
        <w:t>Chen, Z.; Wei, C.; Li, S.; Diao, C.; Li, W.; Kong, W.; Zhang, Z.; Zhang, W. CdS/CdSe Co-Sensitized Solar Cells Based on Hierarchically Structured SnO</w:t>
      </w:r>
      <w:r w:rsidRPr="00D36D92">
        <w:rPr>
          <w:rFonts w:cs="Times"/>
          <w:noProof/>
          <w:szCs w:val="24"/>
          <w:vertAlign w:val="subscript"/>
        </w:rPr>
        <w:t>2</w:t>
      </w:r>
      <w:r w:rsidRPr="008A2060">
        <w:rPr>
          <w:rFonts w:cs="Times"/>
          <w:noProof/>
          <w:szCs w:val="24"/>
        </w:rPr>
        <w:t>/TiO</w:t>
      </w:r>
      <w:r w:rsidRPr="00D36D92">
        <w:rPr>
          <w:rFonts w:cs="Times"/>
          <w:noProof/>
          <w:szCs w:val="24"/>
          <w:vertAlign w:val="subscript"/>
        </w:rPr>
        <w:t>2</w:t>
      </w:r>
      <w:r w:rsidRPr="008A2060">
        <w:rPr>
          <w:rFonts w:cs="Times"/>
          <w:noProof/>
          <w:szCs w:val="24"/>
        </w:rPr>
        <w:t xml:space="preserve"> Hybrid Films. </w:t>
      </w:r>
      <w:r w:rsidRPr="008A2060">
        <w:rPr>
          <w:rFonts w:cs="Times"/>
          <w:i/>
          <w:iCs/>
          <w:noProof/>
          <w:szCs w:val="24"/>
        </w:rPr>
        <w:t>Nanoscale Res. Lett.</w:t>
      </w:r>
      <w:r w:rsidRPr="008A2060">
        <w:rPr>
          <w:rFonts w:cs="Times"/>
          <w:noProof/>
          <w:szCs w:val="24"/>
        </w:rPr>
        <w:t xml:space="preserve"> </w:t>
      </w:r>
      <w:r w:rsidRPr="008A2060">
        <w:rPr>
          <w:rFonts w:cs="Times"/>
          <w:b/>
          <w:bCs/>
          <w:noProof/>
          <w:szCs w:val="24"/>
        </w:rPr>
        <w:t>2016</w:t>
      </w:r>
      <w:r w:rsidRPr="008A2060">
        <w:rPr>
          <w:rFonts w:cs="Times"/>
          <w:noProof/>
          <w:szCs w:val="24"/>
        </w:rPr>
        <w:t xml:space="preserve">, </w:t>
      </w:r>
      <w:r w:rsidRPr="008A2060">
        <w:rPr>
          <w:rFonts w:cs="Times"/>
          <w:i/>
          <w:iCs/>
          <w:noProof/>
          <w:szCs w:val="24"/>
        </w:rPr>
        <w:t>11</w:t>
      </w:r>
      <w:r w:rsidR="00D36D92">
        <w:rPr>
          <w:rFonts w:cs="Times"/>
          <w:noProof/>
          <w:szCs w:val="24"/>
        </w:rPr>
        <w:t xml:space="preserve"> (1), 295.</w:t>
      </w:r>
    </w:p>
    <w:p w:rsidR="007A60EC" w:rsidRDefault="00D1291F" w:rsidP="008A2060">
      <w:pPr>
        <w:widowControl w:val="0"/>
        <w:autoSpaceDE w:val="0"/>
        <w:autoSpaceDN w:val="0"/>
        <w:adjustRightInd w:val="0"/>
        <w:spacing w:line="480" w:lineRule="auto"/>
        <w:ind w:left="640" w:hanging="640"/>
      </w:pPr>
      <w:r>
        <w:fldChar w:fldCharType="end"/>
      </w:r>
    </w:p>
    <w:p w:rsidR="00683131" w:rsidRPr="001A0DA3" w:rsidRDefault="007A60EC" w:rsidP="007A60EC">
      <w:pPr>
        <w:pStyle w:val="BBAuthorName"/>
      </w:pPr>
      <w:r>
        <w:br w:type="page"/>
      </w:r>
    </w:p>
    <w:p w:rsidR="009246AD" w:rsidRDefault="00354C09" w:rsidP="00354C09">
      <w:pPr>
        <w:pStyle w:val="SNSynopsisTOC"/>
      </w:pPr>
      <w:r w:rsidRPr="00354C09">
        <w:lastRenderedPageBreak/>
        <w:t>TOC GRAPHIC</w:t>
      </w:r>
    </w:p>
    <w:p w:rsidR="008C340D" w:rsidRDefault="008C340D" w:rsidP="008C340D">
      <w:pPr>
        <w:pStyle w:val="SNSynopsisTOC"/>
      </w:pPr>
      <w:proofErr w:type="gramStart"/>
      <w:r w:rsidRPr="008C340D">
        <w:t>For Table of Contents Only.</w:t>
      </w:r>
      <w:proofErr w:type="gramEnd"/>
    </w:p>
    <w:p w:rsidR="008C340D" w:rsidRPr="008C340D" w:rsidRDefault="007D0A6A" w:rsidP="007D0A6A">
      <w:pPr>
        <w:pStyle w:val="SNSynopsisTOC"/>
        <w:jc w:val="center"/>
      </w:pPr>
      <w:r>
        <w:rPr>
          <w:noProof/>
          <w:lang w:val="ru-RU" w:eastAsia="ru-RU"/>
        </w:rPr>
        <w:drawing>
          <wp:inline distT="0" distB="0" distL="0" distR="0" wp14:anchorId="3BBA60A8" wp14:editId="781AD542">
            <wp:extent cx="3060192" cy="1709928"/>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Table of Contents Only.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60192" cy="1709928"/>
                    </a:xfrm>
                    <a:prstGeom prst="rect">
                      <a:avLst/>
                    </a:prstGeom>
                  </pic:spPr>
                </pic:pic>
              </a:graphicData>
            </a:graphic>
          </wp:inline>
        </w:drawing>
      </w:r>
    </w:p>
    <w:sectPr w:rsidR="008C340D" w:rsidRPr="008C340D" w:rsidSect="00742CFA">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6A7" w:rsidRDefault="005656A7">
      <w:r>
        <w:separator/>
      </w:r>
    </w:p>
    <w:p w:rsidR="005656A7" w:rsidRDefault="005656A7"/>
  </w:endnote>
  <w:endnote w:type="continuationSeparator" w:id="0">
    <w:p w:rsidR="005656A7" w:rsidRDefault="005656A7">
      <w:r>
        <w:continuationSeparator/>
      </w:r>
    </w:p>
    <w:p w:rsidR="005656A7" w:rsidRDefault="00565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New Roman"/>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83" w:rsidRDefault="0002118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021183" w:rsidRDefault="00021183">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83" w:rsidRDefault="0002118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161FA5">
      <w:rPr>
        <w:rStyle w:val="a8"/>
        <w:noProof/>
      </w:rPr>
      <w:t>23</w:t>
    </w:r>
    <w:r>
      <w:rPr>
        <w:rStyle w:val="a8"/>
      </w:rPr>
      <w:fldChar w:fldCharType="end"/>
    </w:r>
  </w:p>
  <w:p w:rsidR="00021183" w:rsidRDefault="00021183">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6A7" w:rsidRDefault="005656A7">
      <w:r>
        <w:separator/>
      </w:r>
    </w:p>
    <w:p w:rsidR="005656A7" w:rsidRDefault="005656A7"/>
  </w:footnote>
  <w:footnote w:type="continuationSeparator" w:id="0">
    <w:p w:rsidR="005656A7" w:rsidRDefault="005656A7">
      <w:r>
        <w:continuationSeparator/>
      </w:r>
    </w:p>
    <w:p w:rsidR="005656A7" w:rsidRDefault="005656A7"/>
  </w:footnote>
  <w:footnote w:id="1">
    <w:p w:rsidR="00EB70F9" w:rsidRDefault="00EB70F9">
      <w:pPr>
        <w:pStyle w:val="a5"/>
      </w:pPr>
      <w:r>
        <w:rPr>
          <w:rStyle w:val="af1"/>
        </w:rPr>
        <w:footnoteRef/>
      </w:r>
      <w:r>
        <w:t xml:space="preserve"> </w:t>
      </w:r>
      <w:r w:rsidRPr="00EB70F9">
        <w:t xml:space="preserve">See protocols S1 and S2 for calculation of the confidence intervals </w:t>
      </w:r>
      <w:r w:rsidR="0023596E">
        <w:t>for</w:t>
      </w:r>
      <w:r w:rsidRPr="00EB70F9">
        <w:t xml:space="preserve"> </w:t>
      </w:r>
      <w:r w:rsidRPr="00EB70F9">
        <w:rPr>
          <w:rFonts w:ascii="Symbol" w:hAnsi="Symbol"/>
        </w:rPr>
        <w:t></w:t>
      </w:r>
      <w:r w:rsidRPr="00EB70F9">
        <w:t xml:space="preserve">G, </w:t>
      </w:r>
      <w:r w:rsidRPr="00EB70F9">
        <w:rPr>
          <w:rFonts w:ascii="Symbol" w:hAnsi="Symbol"/>
        </w:rPr>
        <w:t></w:t>
      </w:r>
      <w:r w:rsidRPr="00EB70F9">
        <w:t xml:space="preserve">H, </w:t>
      </w:r>
      <w:r w:rsidRPr="00EB70F9">
        <w:rPr>
          <w:rFonts w:ascii="Symbol" w:hAnsi="Symbol"/>
        </w:rPr>
        <w:t></w:t>
      </w:r>
      <w:r w:rsidRPr="00EB70F9">
        <w: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W0NDA0tDSyNDW3NDVU0lEKTi0uzszPAykwqQUAE8jRKSwAAAA="/>
  </w:docVars>
  <w:rsids>
    <w:rsidRoot w:val="00305D88"/>
    <w:rsid w:val="000002F2"/>
    <w:rsid w:val="00000A39"/>
    <w:rsid w:val="000058C9"/>
    <w:rsid w:val="00007EDE"/>
    <w:rsid w:val="0001039A"/>
    <w:rsid w:val="000134EC"/>
    <w:rsid w:val="0001697C"/>
    <w:rsid w:val="00021183"/>
    <w:rsid w:val="00036CEE"/>
    <w:rsid w:val="00041622"/>
    <w:rsid w:val="00046007"/>
    <w:rsid w:val="00052731"/>
    <w:rsid w:val="0005660F"/>
    <w:rsid w:val="00056C73"/>
    <w:rsid w:val="00062BF7"/>
    <w:rsid w:val="00062F95"/>
    <w:rsid w:val="00063C6E"/>
    <w:rsid w:val="000663DD"/>
    <w:rsid w:val="000673AA"/>
    <w:rsid w:val="00070048"/>
    <w:rsid w:val="000702AD"/>
    <w:rsid w:val="00073DC6"/>
    <w:rsid w:val="000743EF"/>
    <w:rsid w:val="000747B8"/>
    <w:rsid w:val="0008476B"/>
    <w:rsid w:val="0009061C"/>
    <w:rsid w:val="00094368"/>
    <w:rsid w:val="00094815"/>
    <w:rsid w:val="000A0161"/>
    <w:rsid w:val="000A239E"/>
    <w:rsid w:val="000A5353"/>
    <w:rsid w:val="000B2EEB"/>
    <w:rsid w:val="000B5610"/>
    <w:rsid w:val="000B7662"/>
    <w:rsid w:val="000C05CC"/>
    <w:rsid w:val="000C0A75"/>
    <w:rsid w:val="000D04EC"/>
    <w:rsid w:val="000D2FF0"/>
    <w:rsid w:val="000D5A9C"/>
    <w:rsid w:val="000F6BB0"/>
    <w:rsid w:val="00100599"/>
    <w:rsid w:val="00106768"/>
    <w:rsid w:val="00121209"/>
    <w:rsid w:val="00122061"/>
    <w:rsid w:val="001306E4"/>
    <w:rsid w:val="00140B84"/>
    <w:rsid w:val="0014161F"/>
    <w:rsid w:val="00142B8F"/>
    <w:rsid w:val="00144DFB"/>
    <w:rsid w:val="0014582D"/>
    <w:rsid w:val="00151FD0"/>
    <w:rsid w:val="001526CE"/>
    <w:rsid w:val="00156E8C"/>
    <w:rsid w:val="00161FA5"/>
    <w:rsid w:val="00162047"/>
    <w:rsid w:val="00163A9A"/>
    <w:rsid w:val="00164EAF"/>
    <w:rsid w:val="00181D1D"/>
    <w:rsid w:val="00182324"/>
    <w:rsid w:val="00194450"/>
    <w:rsid w:val="00195ACA"/>
    <w:rsid w:val="001A0DA3"/>
    <w:rsid w:val="001A368C"/>
    <w:rsid w:val="001A4BB1"/>
    <w:rsid w:val="001A7A90"/>
    <w:rsid w:val="001E05B9"/>
    <w:rsid w:val="001E31F1"/>
    <w:rsid w:val="00200677"/>
    <w:rsid w:val="00201F1B"/>
    <w:rsid w:val="0020549B"/>
    <w:rsid w:val="00212B1D"/>
    <w:rsid w:val="002135DD"/>
    <w:rsid w:val="00224A21"/>
    <w:rsid w:val="002311FA"/>
    <w:rsid w:val="0023596E"/>
    <w:rsid w:val="00235A52"/>
    <w:rsid w:val="00237990"/>
    <w:rsid w:val="002416B7"/>
    <w:rsid w:val="00252966"/>
    <w:rsid w:val="00265079"/>
    <w:rsid w:val="00271A02"/>
    <w:rsid w:val="00277C71"/>
    <w:rsid w:val="00281C77"/>
    <w:rsid w:val="002867CE"/>
    <w:rsid w:val="00297FEA"/>
    <w:rsid w:val="002A59AB"/>
    <w:rsid w:val="002A7493"/>
    <w:rsid w:val="002A7994"/>
    <w:rsid w:val="002B20FF"/>
    <w:rsid w:val="002B216C"/>
    <w:rsid w:val="002B3160"/>
    <w:rsid w:val="002B5431"/>
    <w:rsid w:val="002C3431"/>
    <w:rsid w:val="002C6A90"/>
    <w:rsid w:val="002D482C"/>
    <w:rsid w:val="002E4A3B"/>
    <w:rsid w:val="00301422"/>
    <w:rsid w:val="00302A20"/>
    <w:rsid w:val="003034B7"/>
    <w:rsid w:val="00305D88"/>
    <w:rsid w:val="0031338A"/>
    <w:rsid w:val="0031373B"/>
    <w:rsid w:val="00315EEE"/>
    <w:rsid w:val="00317E0D"/>
    <w:rsid w:val="00324128"/>
    <w:rsid w:val="0033466A"/>
    <w:rsid w:val="00342E03"/>
    <w:rsid w:val="003470CF"/>
    <w:rsid w:val="003474F9"/>
    <w:rsid w:val="00351231"/>
    <w:rsid w:val="00354C09"/>
    <w:rsid w:val="0036102D"/>
    <w:rsid w:val="00361E35"/>
    <w:rsid w:val="003664E9"/>
    <w:rsid w:val="003679A1"/>
    <w:rsid w:val="00392006"/>
    <w:rsid w:val="00395CF7"/>
    <w:rsid w:val="00397B53"/>
    <w:rsid w:val="003A262C"/>
    <w:rsid w:val="003A42F0"/>
    <w:rsid w:val="003A5C7F"/>
    <w:rsid w:val="003B4AF3"/>
    <w:rsid w:val="003D31CB"/>
    <w:rsid w:val="003D7215"/>
    <w:rsid w:val="003E1F76"/>
    <w:rsid w:val="003E42A5"/>
    <w:rsid w:val="003E73E2"/>
    <w:rsid w:val="00400A92"/>
    <w:rsid w:val="0040103F"/>
    <w:rsid w:val="00402807"/>
    <w:rsid w:val="004133AD"/>
    <w:rsid w:val="0042281D"/>
    <w:rsid w:val="004240FB"/>
    <w:rsid w:val="00426899"/>
    <w:rsid w:val="0043042C"/>
    <w:rsid w:val="00431DCC"/>
    <w:rsid w:val="00434CEF"/>
    <w:rsid w:val="00437044"/>
    <w:rsid w:val="00440C72"/>
    <w:rsid w:val="00444608"/>
    <w:rsid w:val="004505D7"/>
    <w:rsid w:val="00451CC6"/>
    <w:rsid w:val="0047532B"/>
    <w:rsid w:val="00475FD2"/>
    <w:rsid w:val="00477BFB"/>
    <w:rsid w:val="004862ED"/>
    <w:rsid w:val="004933DD"/>
    <w:rsid w:val="0049357D"/>
    <w:rsid w:val="004A42A8"/>
    <w:rsid w:val="004A6BB9"/>
    <w:rsid w:val="004B6AEC"/>
    <w:rsid w:val="004C0768"/>
    <w:rsid w:val="004C36D7"/>
    <w:rsid w:val="004C7501"/>
    <w:rsid w:val="004D10E1"/>
    <w:rsid w:val="004E283C"/>
    <w:rsid w:val="004E4038"/>
    <w:rsid w:val="004E5617"/>
    <w:rsid w:val="004E7185"/>
    <w:rsid w:val="004F2325"/>
    <w:rsid w:val="004F7315"/>
    <w:rsid w:val="004F74EC"/>
    <w:rsid w:val="00506F55"/>
    <w:rsid w:val="00512395"/>
    <w:rsid w:val="005126F3"/>
    <w:rsid w:val="00514598"/>
    <w:rsid w:val="00517BEF"/>
    <w:rsid w:val="00532B2F"/>
    <w:rsid w:val="00537721"/>
    <w:rsid w:val="00551E86"/>
    <w:rsid w:val="005532D4"/>
    <w:rsid w:val="005551E1"/>
    <w:rsid w:val="005553EF"/>
    <w:rsid w:val="0055604A"/>
    <w:rsid w:val="0056108C"/>
    <w:rsid w:val="00561565"/>
    <w:rsid w:val="00563AC0"/>
    <w:rsid w:val="005656A7"/>
    <w:rsid w:val="00565CF6"/>
    <w:rsid w:val="00567E81"/>
    <w:rsid w:val="00572B0E"/>
    <w:rsid w:val="0058238C"/>
    <w:rsid w:val="005862FD"/>
    <w:rsid w:val="00591A57"/>
    <w:rsid w:val="00594B21"/>
    <w:rsid w:val="005963D8"/>
    <w:rsid w:val="005968B8"/>
    <w:rsid w:val="0059733F"/>
    <w:rsid w:val="005B0C25"/>
    <w:rsid w:val="005B2631"/>
    <w:rsid w:val="005B3F08"/>
    <w:rsid w:val="005C3842"/>
    <w:rsid w:val="005C5964"/>
    <w:rsid w:val="005C698C"/>
    <w:rsid w:val="005D0C10"/>
    <w:rsid w:val="005F413D"/>
    <w:rsid w:val="005F5B95"/>
    <w:rsid w:val="005F76E6"/>
    <w:rsid w:val="006001A4"/>
    <w:rsid w:val="006027D6"/>
    <w:rsid w:val="006304FB"/>
    <w:rsid w:val="006409EF"/>
    <w:rsid w:val="006424F1"/>
    <w:rsid w:val="00643AB5"/>
    <w:rsid w:val="00644151"/>
    <w:rsid w:val="0064433F"/>
    <w:rsid w:val="006446C0"/>
    <w:rsid w:val="00645136"/>
    <w:rsid w:val="006455A5"/>
    <w:rsid w:val="00655034"/>
    <w:rsid w:val="00655DE1"/>
    <w:rsid w:val="00657B23"/>
    <w:rsid w:val="00661AB0"/>
    <w:rsid w:val="00667D85"/>
    <w:rsid w:val="006755E2"/>
    <w:rsid w:val="00676AD0"/>
    <w:rsid w:val="006773DB"/>
    <w:rsid w:val="00677CD0"/>
    <w:rsid w:val="00682D89"/>
    <w:rsid w:val="0068312A"/>
    <w:rsid w:val="00683131"/>
    <w:rsid w:val="006877C7"/>
    <w:rsid w:val="00687D2F"/>
    <w:rsid w:val="006908C3"/>
    <w:rsid w:val="00690DA2"/>
    <w:rsid w:val="00690F25"/>
    <w:rsid w:val="00692A66"/>
    <w:rsid w:val="006A1817"/>
    <w:rsid w:val="006A2032"/>
    <w:rsid w:val="006A3E34"/>
    <w:rsid w:val="006A4B82"/>
    <w:rsid w:val="006A625F"/>
    <w:rsid w:val="006B0B5C"/>
    <w:rsid w:val="006B2581"/>
    <w:rsid w:val="006C1AA0"/>
    <w:rsid w:val="006C64F4"/>
    <w:rsid w:val="006D160E"/>
    <w:rsid w:val="006D370C"/>
    <w:rsid w:val="006E23BF"/>
    <w:rsid w:val="006E6A23"/>
    <w:rsid w:val="006E79D2"/>
    <w:rsid w:val="006F5A67"/>
    <w:rsid w:val="007000D9"/>
    <w:rsid w:val="007073ED"/>
    <w:rsid w:val="0070770D"/>
    <w:rsid w:val="007114B0"/>
    <w:rsid w:val="0071397C"/>
    <w:rsid w:val="007151D8"/>
    <w:rsid w:val="007153C3"/>
    <w:rsid w:val="00724C10"/>
    <w:rsid w:val="0073067A"/>
    <w:rsid w:val="0073545C"/>
    <w:rsid w:val="00736595"/>
    <w:rsid w:val="00742CFA"/>
    <w:rsid w:val="00747701"/>
    <w:rsid w:val="0075764A"/>
    <w:rsid w:val="007629D3"/>
    <w:rsid w:val="00763982"/>
    <w:rsid w:val="00766415"/>
    <w:rsid w:val="007711D9"/>
    <w:rsid w:val="00773999"/>
    <w:rsid w:val="007769D4"/>
    <w:rsid w:val="0077742A"/>
    <w:rsid w:val="00777D30"/>
    <w:rsid w:val="00780720"/>
    <w:rsid w:val="0078251C"/>
    <w:rsid w:val="007837BD"/>
    <w:rsid w:val="00792B4F"/>
    <w:rsid w:val="00794616"/>
    <w:rsid w:val="007A11AD"/>
    <w:rsid w:val="007A54D5"/>
    <w:rsid w:val="007A60EC"/>
    <w:rsid w:val="007A73B8"/>
    <w:rsid w:val="007B0232"/>
    <w:rsid w:val="007B475B"/>
    <w:rsid w:val="007B7197"/>
    <w:rsid w:val="007C0266"/>
    <w:rsid w:val="007C2FCE"/>
    <w:rsid w:val="007C3C86"/>
    <w:rsid w:val="007D0A6A"/>
    <w:rsid w:val="007D21BB"/>
    <w:rsid w:val="007D3154"/>
    <w:rsid w:val="007D5776"/>
    <w:rsid w:val="007E3141"/>
    <w:rsid w:val="007E693B"/>
    <w:rsid w:val="007E7723"/>
    <w:rsid w:val="007F5858"/>
    <w:rsid w:val="008047DE"/>
    <w:rsid w:val="008059F2"/>
    <w:rsid w:val="00811C0C"/>
    <w:rsid w:val="00812B09"/>
    <w:rsid w:val="0081509C"/>
    <w:rsid w:val="00834B57"/>
    <w:rsid w:val="00837656"/>
    <w:rsid w:val="00842596"/>
    <w:rsid w:val="00847821"/>
    <w:rsid w:val="00855717"/>
    <w:rsid w:val="00857A58"/>
    <w:rsid w:val="00857BB4"/>
    <w:rsid w:val="008633FA"/>
    <w:rsid w:val="008647A5"/>
    <w:rsid w:val="00864C9E"/>
    <w:rsid w:val="0086522B"/>
    <w:rsid w:val="00865461"/>
    <w:rsid w:val="008655C0"/>
    <w:rsid w:val="008667E2"/>
    <w:rsid w:val="00870FBA"/>
    <w:rsid w:val="0087103F"/>
    <w:rsid w:val="00881448"/>
    <w:rsid w:val="00881ECF"/>
    <w:rsid w:val="008844A2"/>
    <w:rsid w:val="008A1602"/>
    <w:rsid w:val="008A2060"/>
    <w:rsid w:val="008A24E0"/>
    <w:rsid w:val="008A4214"/>
    <w:rsid w:val="008B6716"/>
    <w:rsid w:val="008C0B9A"/>
    <w:rsid w:val="008C2974"/>
    <w:rsid w:val="008C340D"/>
    <w:rsid w:val="008C37BE"/>
    <w:rsid w:val="008C7491"/>
    <w:rsid w:val="008D30F9"/>
    <w:rsid w:val="008D53B2"/>
    <w:rsid w:val="008E59E0"/>
    <w:rsid w:val="008F36A1"/>
    <w:rsid w:val="008F3902"/>
    <w:rsid w:val="008F5540"/>
    <w:rsid w:val="00907DC1"/>
    <w:rsid w:val="009120BD"/>
    <w:rsid w:val="00912169"/>
    <w:rsid w:val="0091427D"/>
    <w:rsid w:val="009174B3"/>
    <w:rsid w:val="0092037A"/>
    <w:rsid w:val="0092216F"/>
    <w:rsid w:val="009246AD"/>
    <w:rsid w:val="009253E8"/>
    <w:rsid w:val="00927312"/>
    <w:rsid w:val="00932315"/>
    <w:rsid w:val="00934A3E"/>
    <w:rsid w:val="00941CFB"/>
    <w:rsid w:val="00945914"/>
    <w:rsid w:val="009463CA"/>
    <w:rsid w:val="00947495"/>
    <w:rsid w:val="00950ECD"/>
    <w:rsid w:val="00956517"/>
    <w:rsid w:val="00964D92"/>
    <w:rsid w:val="00964F24"/>
    <w:rsid w:val="009705C8"/>
    <w:rsid w:val="00981A89"/>
    <w:rsid w:val="00981AB8"/>
    <w:rsid w:val="009909F6"/>
    <w:rsid w:val="009917B5"/>
    <w:rsid w:val="00992779"/>
    <w:rsid w:val="009A32EF"/>
    <w:rsid w:val="009B6717"/>
    <w:rsid w:val="009B713A"/>
    <w:rsid w:val="009C5297"/>
    <w:rsid w:val="009C6C32"/>
    <w:rsid w:val="009D2486"/>
    <w:rsid w:val="009D3542"/>
    <w:rsid w:val="009D5D0B"/>
    <w:rsid w:val="009D6828"/>
    <w:rsid w:val="009E7AD7"/>
    <w:rsid w:val="009F2E7E"/>
    <w:rsid w:val="00A00935"/>
    <w:rsid w:val="00A01C9D"/>
    <w:rsid w:val="00A02645"/>
    <w:rsid w:val="00A02D62"/>
    <w:rsid w:val="00A04837"/>
    <w:rsid w:val="00A054E3"/>
    <w:rsid w:val="00A1007F"/>
    <w:rsid w:val="00A10972"/>
    <w:rsid w:val="00A16C4E"/>
    <w:rsid w:val="00A206D8"/>
    <w:rsid w:val="00A20EB5"/>
    <w:rsid w:val="00A20FA7"/>
    <w:rsid w:val="00A25CC1"/>
    <w:rsid w:val="00A31C65"/>
    <w:rsid w:val="00A324C1"/>
    <w:rsid w:val="00A51FF3"/>
    <w:rsid w:val="00A55FD8"/>
    <w:rsid w:val="00A57656"/>
    <w:rsid w:val="00A600B4"/>
    <w:rsid w:val="00A7255C"/>
    <w:rsid w:val="00A744EC"/>
    <w:rsid w:val="00A74D6D"/>
    <w:rsid w:val="00A764EF"/>
    <w:rsid w:val="00A868D9"/>
    <w:rsid w:val="00A90941"/>
    <w:rsid w:val="00AA099A"/>
    <w:rsid w:val="00AA282E"/>
    <w:rsid w:val="00AA4F5E"/>
    <w:rsid w:val="00AB0BDB"/>
    <w:rsid w:val="00AB0CC8"/>
    <w:rsid w:val="00AB31BD"/>
    <w:rsid w:val="00AB34C5"/>
    <w:rsid w:val="00AC0526"/>
    <w:rsid w:val="00AC1A47"/>
    <w:rsid w:val="00AC1D91"/>
    <w:rsid w:val="00AC56EF"/>
    <w:rsid w:val="00AC7642"/>
    <w:rsid w:val="00AD1A6C"/>
    <w:rsid w:val="00AD2D39"/>
    <w:rsid w:val="00AD3AE4"/>
    <w:rsid w:val="00AE1EE2"/>
    <w:rsid w:val="00AE1F4B"/>
    <w:rsid w:val="00AE3B38"/>
    <w:rsid w:val="00AE72B8"/>
    <w:rsid w:val="00AF082F"/>
    <w:rsid w:val="00AF46B7"/>
    <w:rsid w:val="00AF4F6D"/>
    <w:rsid w:val="00AF66A9"/>
    <w:rsid w:val="00AF7F6A"/>
    <w:rsid w:val="00B05A88"/>
    <w:rsid w:val="00B05F06"/>
    <w:rsid w:val="00B068A8"/>
    <w:rsid w:val="00B10181"/>
    <w:rsid w:val="00B13FBA"/>
    <w:rsid w:val="00B263D0"/>
    <w:rsid w:val="00B303F8"/>
    <w:rsid w:val="00B36292"/>
    <w:rsid w:val="00B37F16"/>
    <w:rsid w:val="00B44641"/>
    <w:rsid w:val="00B4583F"/>
    <w:rsid w:val="00B500E4"/>
    <w:rsid w:val="00B660EB"/>
    <w:rsid w:val="00B7618D"/>
    <w:rsid w:val="00B773F5"/>
    <w:rsid w:val="00B8047C"/>
    <w:rsid w:val="00B8244A"/>
    <w:rsid w:val="00B9620F"/>
    <w:rsid w:val="00BA19C3"/>
    <w:rsid w:val="00BA2AA5"/>
    <w:rsid w:val="00BA2F3B"/>
    <w:rsid w:val="00BA4A3E"/>
    <w:rsid w:val="00BA6762"/>
    <w:rsid w:val="00BB07D4"/>
    <w:rsid w:val="00BB5345"/>
    <w:rsid w:val="00BB6CB2"/>
    <w:rsid w:val="00BD2C44"/>
    <w:rsid w:val="00BD47D0"/>
    <w:rsid w:val="00BD6DC1"/>
    <w:rsid w:val="00BE0A6B"/>
    <w:rsid w:val="00BE2A66"/>
    <w:rsid w:val="00BE3225"/>
    <w:rsid w:val="00BE4B10"/>
    <w:rsid w:val="00BE6180"/>
    <w:rsid w:val="00BF291D"/>
    <w:rsid w:val="00BF4FEC"/>
    <w:rsid w:val="00C036E2"/>
    <w:rsid w:val="00C10EE0"/>
    <w:rsid w:val="00C1113B"/>
    <w:rsid w:val="00C12556"/>
    <w:rsid w:val="00C23810"/>
    <w:rsid w:val="00C442EB"/>
    <w:rsid w:val="00C44B03"/>
    <w:rsid w:val="00C51FCB"/>
    <w:rsid w:val="00C55A19"/>
    <w:rsid w:val="00C6170A"/>
    <w:rsid w:val="00C61F17"/>
    <w:rsid w:val="00C62851"/>
    <w:rsid w:val="00C638BD"/>
    <w:rsid w:val="00C64DD0"/>
    <w:rsid w:val="00C7451E"/>
    <w:rsid w:val="00C74D04"/>
    <w:rsid w:val="00C82AAB"/>
    <w:rsid w:val="00C8355E"/>
    <w:rsid w:val="00C847CB"/>
    <w:rsid w:val="00C955AD"/>
    <w:rsid w:val="00C96030"/>
    <w:rsid w:val="00CA4039"/>
    <w:rsid w:val="00CA764B"/>
    <w:rsid w:val="00CC4670"/>
    <w:rsid w:val="00CD40A6"/>
    <w:rsid w:val="00CD5CB1"/>
    <w:rsid w:val="00CD6D6D"/>
    <w:rsid w:val="00CE5B36"/>
    <w:rsid w:val="00CF0FF7"/>
    <w:rsid w:val="00CF1B2E"/>
    <w:rsid w:val="00CF51D8"/>
    <w:rsid w:val="00CF713F"/>
    <w:rsid w:val="00D1291F"/>
    <w:rsid w:val="00D318E5"/>
    <w:rsid w:val="00D32E24"/>
    <w:rsid w:val="00D32FFD"/>
    <w:rsid w:val="00D36D92"/>
    <w:rsid w:val="00D414C9"/>
    <w:rsid w:val="00D53E11"/>
    <w:rsid w:val="00D5547B"/>
    <w:rsid w:val="00D570F0"/>
    <w:rsid w:val="00D70C72"/>
    <w:rsid w:val="00D72AF9"/>
    <w:rsid w:val="00D75364"/>
    <w:rsid w:val="00D75556"/>
    <w:rsid w:val="00D773A2"/>
    <w:rsid w:val="00D8484A"/>
    <w:rsid w:val="00D87B6F"/>
    <w:rsid w:val="00D938B4"/>
    <w:rsid w:val="00D939C8"/>
    <w:rsid w:val="00D941A8"/>
    <w:rsid w:val="00D95495"/>
    <w:rsid w:val="00DA4799"/>
    <w:rsid w:val="00DA76BA"/>
    <w:rsid w:val="00DB031D"/>
    <w:rsid w:val="00DB64EB"/>
    <w:rsid w:val="00DC0764"/>
    <w:rsid w:val="00DC132A"/>
    <w:rsid w:val="00DC5600"/>
    <w:rsid w:val="00DD1034"/>
    <w:rsid w:val="00DD3B0D"/>
    <w:rsid w:val="00DD6DBB"/>
    <w:rsid w:val="00DE089D"/>
    <w:rsid w:val="00DE1069"/>
    <w:rsid w:val="00DE32B2"/>
    <w:rsid w:val="00DF253D"/>
    <w:rsid w:val="00DF29E0"/>
    <w:rsid w:val="00DF40F7"/>
    <w:rsid w:val="00DF70F5"/>
    <w:rsid w:val="00E037E3"/>
    <w:rsid w:val="00E03891"/>
    <w:rsid w:val="00E074F2"/>
    <w:rsid w:val="00E108A4"/>
    <w:rsid w:val="00E14DBF"/>
    <w:rsid w:val="00E43039"/>
    <w:rsid w:val="00E466FD"/>
    <w:rsid w:val="00E537B1"/>
    <w:rsid w:val="00E5579F"/>
    <w:rsid w:val="00E7104D"/>
    <w:rsid w:val="00E73C8F"/>
    <w:rsid w:val="00E7766A"/>
    <w:rsid w:val="00E82953"/>
    <w:rsid w:val="00E85A91"/>
    <w:rsid w:val="00E85CB9"/>
    <w:rsid w:val="00E91482"/>
    <w:rsid w:val="00E92582"/>
    <w:rsid w:val="00E96030"/>
    <w:rsid w:val="00E96302"/>
    <w:rsid w:val="00EA3364"/>
    <w:rsid w:val="00EA38EE"/>
    <w:rsid w:val="00EA7FA8"/>
    <w:rsid w:val="00EB1D92"/>
    <w:rsid w:val="00EB242B"/>
    <w:rsid w:val="00EB4973"/>
    <w:rsid w:val="00EB70F9"/>
    <w:rsid w:val="00ED6313"/>
    <w:rsid w:val="00EE4DD5"/>
    <w:rsid w:val="00EE5B80"/>
    <w:rsid w:val="00EE65AA"/>
    <w:rsid w:val="00EF627A"/>
    <w:rsid w:val="00F0152A"/>
    <w:rsid w:val="00F023EB"/>
    <w:rsid w:val="00F134F5"/>
    <w:rsid w:val="00F15342"/>
    <w:rsid w:val="00F20185"/>
    <w:rsid w:val="00F23E5E"/>
    <w:rsid w:val="00F36B34"/>
    <w:rsid w:val="00F37AF3"/>
    <w:rsid w:val="00F40E76"/>
    <w:rsid w:val="00F41751"/>
    <w:rsid w:val="00F423EE"/>
    <w:rsid w:val="00F47B85"/>
    <w:rsid w:val="00F526A1"/>
    <w:rsid w:val="00F52D2B"/>
    <w:rsid w:val="00F54BDD"/>
    <w:rsid w:val="00F55C60"/>
    <w:rsid w:val="00F5645C"/>
    <w:rsid w:val="00F568D9"/>
    <w:rsid w:val="00F60C76"/>
    <w:rsid w:val="00F61AE3"/>
    <w:rsid w:val="00F76584"/>
    <w:rsid w:val="00F903B1"/>
    <w:rsid w:val="00F957EB"/>
    <w:rsid w:val="00F96800"/>
    <w:rsid w:val="00FC6498"/>
    <w:rsid w:val="00FD1501"/>
    <w:rsid w:val="00FD5D52"/>
    <w:rsid w:val="00FE5A2E"/>
    <w:rsid w:val="00FE6219"/>
    <w:rsid w:val="00FE699D"/>
    <w:rsid w:val="00FF13A7"/>
    <w:rsid w:val="00FF2509"/>
    <w:rsid w:val="00FF2D4B"/>
    <w:rsid w:val="00FF2F36"/>
    <w:rsid w:val="00FF302B"/>
    <w:rsid w:val="00FF4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aa">
    <w:name w:val="Table Grid"/>
    <w:basedOn w:val="a1"/>
    <w:uiPriority w:val="39"/>
    <w:rsid w:val="00046007"/>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a"/>
    <w:uiPriority w:val="39"/>
    <w:rsid w:val="000F6BB0"/>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a"/>
    <w:uiPriority w:val="39"/>
    <w:rsid w:val="000F6BB0"/>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39"/>
    <w:rsid w:val="0047532B"/>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nhideWhenUsed/>
    <w:rsid w:val="00F15342"/>
    <w:pPr>
      <w:tabs>
        <w:tab w:val="center" w:pos="4677"/>
        <w:tab w:val="right" w:pos="9355"/>
      </w:tabs>
      <w:spacing w:after="0"/>
    </w:pPr>
  </w:style>
  <w:style w:type="character" w:customStyle="1" w:styleId="ac">
    <w:name w:val="Верхний колонтитул Знак"/>
    <w:basedOn w:val="a0"/>
    <w:link w:val="ab"/>
    <w:rsid w:val="00F15342"/>
    <w:rPr>
      <w:rFonts w:ascii="Times" w:hAnsi="Times"/>
      <w:sz w:val="24"/>
    </w:rPr>
  </w:style>
  <w:style w:type="paragraph" w:styleId="ad">
    <w:name w:val="List Paragraph"/>
    <w:basedOn w:val="a"/>
    <w:uiPriority w:val="34"/>
    <w:qFormat/>
    <w:rsid w:val="00687D2F"/>
    <w:pPr>
      <w:ind w:left="720"/>
      <w:contextualSpacing/>
    </w:pPr>
  </w:style>
  <w:style w:type="paragraph" w:styleId="ae">
    <w:name w:val="endnote text"/>
    <w:basedOn w:val="a"/>
    <w:link w:val="af"/>
    <w:semiHidden/>
    <w:unhideWhenUsed/>
    <w:rsid w:val="00073DC6"/>
    <w:pPr>
      <w:spacing w:after="0"/>
    </w:pPr>
    <w:rPr>
      <w:sz w:val="20"/>
    </w:rPr>
  </w:style>
  <w:style w:type="character" w:customStyle="1" w:styleId="af">
    <w:name w:val="Текст концевой сноски Знак"/>
    <w:basedOn w:val="a0"/>
    <w:link w:val="ae"/>
    <w:semiHidden/>
    <w:rsid w:val="00073DC6"/>
    <w:rPr>
      <w:rFonts w:ascii="Times" w:hAnsi="Times"/>
    </w:rPr>
  </w:style>
  <w:style w:type="character" w:styleId="af0">
    <w:name w:val="endnote reference"/>
    <w:basedOn w:val="a0"/>
    <w:semiHidden/>
    <w:unhideWhenUsed/>
    <w:rsid w:val="00073DC6"/>
    <w:rPr>
      <w:vertAlign w:val="superscript"/>
    </w:rPr>
  </w:style>
  <w:style w:type="character" w:styleId="af1">
    <w:name w:val="footnote reference"/>
    <w:basedOn w:val="a0"/>
    <w:semiHidden/>
    <w:unhideWhenUsed/>
    <w:rsid w:val="00073DC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aa">
    <w:name w:val="Table Grid"/>
    <w:basedOn w:val="a1"/>
    <w:uiPriority w:val="39"/>
    <w:rsid w:val="00046007"/>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a"/>
    <w:uiPriority w:val="39"/>
    <w:rsid w:val="000F6BB0"/>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a"/>
    <w:uiPriority w:val="39"/>
    <w:rsid w:val="000F6BB0"/>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39"/>
    <w:rsid w:val="0047532B"/>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nhideWhenUsed/>
    <w:rsid w:val="00F15342"/>
    <w:pPr>
      <w:tabs>
        <w:tab w:val="center" w:pos="4677"/>
        <w:tab w:val="right" w:pos="9355"/>
      </w:tabs>
      <w:spacing w:after="0"/>
    </w:pPr>
  </w:style>
  <w:style w:type="character" w:customStyle="1" w:styleId="ac">
    <w:name w:val="Верхний колонтитул Знак"/>
    <w:basedOn w:val="a0"/>
    <w:link w:val="ab"/>
    <w:rsid w:val="00F15342"/>
    <w:rPr>
      <w:rFonts w:ascii="Times" w:hAnsi="Times"/>
      <w:sz w:val="24"/>
    </w:rPr>
  </w:style>
  <w:style w:type="paragraph" w:styleId="ad">
    <w:name w:val="List Paragraph"/>
    <w:basedOn w:val="a"/>
    <w:uiPriority w:val="34"/>
    <w:qFormat/>
    <w:rsid w:val="00687D2F"/>
    <w:pPr>
      <w:ind w:left="720"/>
      <w:contextualSpacing/>
    </w:pPr>
  </w:style>
  <w:style w:type="paragraph" w:styleId="ae">
    <w:name w:val="endnote text"/>
    <w:basedOn w:val="a"/>
    <w:link w:val="af"/>
    <w:semiHidden/>
    <w:unhideWhenUsed/>
    <w:rsid w:val="00073DC6"/>
    <w:pPr>
      <w:spacing w:after="0"/>
    </w:pPr>
    <w:rPr>
      <w:sz w:val="20"/>
    </w:rPr>
  </w:style>
  <w:style w:type="character" w:customStyle="1" w:styleId="af">
    <w:name w:val="Текст концевой сноски Знак"/>
    <w:basedOn w:val="a0"/>
    <w:link w:val="ae"/>
    <w:semiHidden/>
    <w:rsid w:val="00073DC6"/>
    <w:rPr>
      <w:rFonts w:ascii="Times" w:hAnsi="Times"/>
    </w:rPr>
  </w:style>
  <w:style w:type="character" w:styleId="af0">
    <w:name w:val="endnote reference"/>
    <w:basedOn w:val="a0"/>
    <w:semiHidden/>
    <w:unhideWhenUsed/>
    <w:rsid w:val="00073DC6"/>
    <w:rPr>
      <w:vertAlign w:val="superscript"/>
    </w:rPr>
  </w:style>
  <w:style w:type="character" w:styleId="af1">
    <w:name w:val="footnote reference"/>
    <w:basedOn w:val="a0"/>
    <w:semiHidden/>
    <w:unhideWhenUsed/>
    <w:rsid w:val="00073D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oleObject17.bin"/><Relationship Id="rId50" Type="http://schemas.openxmlformats.org/officeDocument/2006/relationships/image" Target="media/image24.tiff"/><Relationship Id="rId55" Type="http://schemas.openxmlformats.org/officeDocument/2006/relationships/image" Target="media/image29.tiff"/><Relationship Id="rId63" Type="http://schemas.openxmlformats.org/officeDocument/2006/relationships/image" Target="media/image34.tiff"/><Relationship Id="rId68" Type="http://schemas.openxmlformats.org/officeDocument/2006/relationships/image" Target="media/image39.tiff"/><Relationship Id="rId7" Type="http://schemas.openxmlformats.org/officeDocument/2006/relationships/footnotes" Target="footnotes.xml"/><Relationship Id="rId71" Type="http://schemas.openxmlformats.org/officeDocument/2006/relationships/hyperlink" Target="mailto:potemkinva@susu.ru"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8.bin"/><Relationship Id="rId11" Type="http://schemas.openxmlformats.org/officeDocument/2006/relationships/image" Target="media/image3.tif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2.bin"/><Relationship Id="rId40" Type="http://schemas.openxmlformats.org/officeDocument/2006/relationships/image" Target="media/image19.emf"/><Relationship Id="rId45" Type="http://schemas.openxmlformats.org/officeDocument/2006/relationships/oleObject" Target="embeddings/oleObject16.bin"/><Relationship Id="rId53" Type="http://schemas.openxmlformats.org/officeDocument/2006/relationships/image" Target="media/image27.tiff"/><Relationship Id="rId58" Type="http://schemas.openxmlformats.org/officeDocument/2006/relationships/image" Target="media/image30.wmf"/><Relationship Id="rId66" Type="http://schemas.openxmlformats.org/officeDocument/2006/relationships/image" Target="media/image37.tif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oleObject18.bin"/><Relationship Id="rId57" Type="http://schemas.openxmlformats.org/officeDocument/2006/relationships/footer" Target="footer2.xml"/><Relationship Id="rId61" Type="http://schemas.openxmlformats.org/officeDocument/2006/relationships/image" Target="media/image32.tiff"/><Relationship Id="rId10" Type="http://schemas.openxmlformats.org/officeDocument/2006/relationships/image" Target="media/image2.tif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1.emf"/><Relationship Id="rId52" Type="http://schemas.openxmlformats.org/officeDocument/2006/relationships/image" Target="media/image26.tiff"/><Relationship Id="rId60" Type="http://schemas.openxmlformats.org/officeDocument/2006/relationships/image" Target="media/image31.tiff"/><Relationship Id="rId65" Type="http://schemas.openxmlformats.org/officeDocument/2006/relationships/image" Target="media/image36.tif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7.bin"/><Relationship Id="rId30" Type="http://schemas.openxmlformats.org/officeDocument/2006/relationships/image" Target="media/image14.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3.emf"/><Relationship Id="rId56" Type="http://schemas.openxmlformats.org/officeDocument/2006/relationships/footer" Target="footer1.xml"/><Relationship Id="rId64" Type="http://schemas.openxmlformats.org/officeDocument/2006/relationships/image" Target="media/image35.tiff"/><Relationship Id="rId69" Type="http://schemas.openxmlformats.org/officeDocument/2006/relationships/image" Target="media/image40.tiff"/><Relationship Id="rId8" Type="http://schemas.openxmlformats.org/officeDocument/2006/relationships/endnotes" Target="endnotes.xml"/><Relationship Id="rId51" Type="http://schemas.openxmlformats.org/officeDocument/2006/relationships/image" Target="media/image25.tiff"/><Relationship Id="rId72" Type="http://schemas.openxmlformats.org/officeDocument/2006/relationships/image" Target="media/image41.tiff"/><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image" Target="media/image38.tiff"/><Relationship Id="rId20" Type="http://schemas.openxmlformats.org/officeDocument/2006/relationships/image" Target="media/image9.emf"/><Relationship Id="rId41" Type="http://schemas.openxmlformats.org/officeDocument/2006/relationships/oleObject" Target="embeddings/oleObject14.bin"/><Relationship Id="rId54" Type="http://schemas.openxmlformats.org/officeDocument/2006/relationships/image" Target="media/image28.tiff"/><Relationship Id="rId62" Type="http://schemas.openxmlformats.org/officeDocument/2006/relationships/image" Target="media/image33.tiff"/><Relationship Id="rId70" Type="http://schemas.openxmlformats.org/officeDocument/2006/relationships/hyperlink" Target="mailto:bolshakovoi@susu.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eg\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09AFF-A70B-4A3B-B910-F41D84F14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282</TotalTime>
  <Pages>52</Pages>
  <Words>57011</Words>
  <Characters>324965</Characters>
  <Application>Microsoft Office Word</Application>
  <DocSecurity>0</DocSecurity>
  <Lines>2708</Lines>
  <Paragraphs>762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381214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7</dc:creator>
  <cp:lastModifiedBy>Олег Большаков</cp:lastModifiedBy>
  <cp:revision>29</cp:revision>
  <cp:lastPrinted>2018-08-31T12:45:00Z</cp:lastPrinted>
  <dcterms:created xsi:type="dcterms:W3CDTF">2018-12-13T13:33:00Z</dcterms:created>
  <dcterms:modified xsi:type="dcterms:W3CDTF">2018-12-14T11:30:00Z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http://www.zotero.org/styles/journal-of-colloid-and-interface-science</vt:lpwstr>
  </property>
  <property fmtid="{D5CDD505-2E9C-101B-9397-08002B2CF9AE}" pid="13" name="Mendeley Recent Style Name 5_1">
    <vt:lpwstr>Journal of Colloid And Interface Science</vt:lpwstr>
  </property>
  <property fmtid="{D5CDD505-2E9C-101B-9397-08002B2CF9AE}" pid="14" name="Mendeley Recent Style Id 6_1">
    <vt:lpwstr>http://www.zotero.org/styles/langmuir</vt:lpwstr>
  </property>
  <property fmtid="{D5CDD505-2E9C-101B-9397-08002B2CF9AE}" pid="15" name="Mendeley Recent Style Name 6_1">
    <vt:lpwstr>Langmuir</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http://www.zotero.org/styles/langmuir</vt:lpwstr>
  </property>
  <property fmtid="{D5CDD505-2E9C-101B-9397-08002B2CF9AE}" pid="24" name="Mendeley Unique User Id_1">
    <vt:lpwstr>0cdf8b28-e305-3426-8e2c-254feed7b720</vt:lpwstr>
  </property>
</Properties>
</file>